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351453">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 xml:space="preserve">VOTO PARTICULAR DEL COMISIONADO JOSÉ GUADALUPE LUNA HERNÁNDEZ EN EL RECURSO DE REVISIÓN </w:t>
      </w:r>
      <w:r w:rsidR="009F0294">
        <w:rPr>
          <w:rFonts w:ascii="Palatino Linotype" w:hAnsi="Palatino Linotype" w:cs="Arial"/>
          <w:b/>
          <w:sz w:val="24"/>
          <w:szCs w:val="24"/>
        </w:rPr>
        <w:t>04637/INFOEM/IP/RR/2018</w:t>
      </w:r>
      <w:r w:rsidRPr="0037358E">
        <w:rPr>
          <w:rFonts w:ascii="Palatino Linotype" w:hAnsi="Palatino Linotype" w:cs="Arial"/>
          <w:b/>
          <w:sz w:val="24"/>
          <w:szCs w:val="24"/>
        </w:rPr>
        <w:t>.</w:t>
      </w:r>
    </w:p>
    <w:p w:rsidR="0009550C" w:rsidRDefault="0009550C" w:rsidP="00351453">
      <w:pPr>
        <w:spacing w:after="0" w:line="360" w:lineRule="auto"/>
        <w:jc w:val="both"/>
        <w:rPr>
          <w:rFonts w:ascii="Palatino Linotype" w:hAnsi="Palatino Linotype" w:cs="Arial"/>
          <w:b/>
          <w:sz w:val="24"/>
          <w:szCs w:val="24"/>
        </w:rPr>
      </w:pPr>
    </w:p>
    <w:p w:rsidR="00627CAE" w:rsidRPr="0037358E" w:rsidRDefault="00627CAE" w:rsidP="00351453">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w:t>
      </w:r>
      <w:r w:rsidR="00F22581">
        <w:rPr>
          <w:rFonts w:ascii="Palatino Linotype" w:hAnsi="Palatino Linotype" w:cs="Arial"/>
          <w:sz w:val="24"/>
          <w:szCs w:val="24"/>
        </w:rPr>
        <w:t>cceso a la información pública.</w:t>
      </w:r>
    </w:p>
    <w:p w:rsidR="00627CA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DC11A3" w:rsidRPr="00C65F6A" w:rsidRDefault="00DC11A3" w:rsidP="00C65F6A">
      <w:pPr>
        <w:spacing w:after="0" w:line="360" w:lineRule="auto"/>
        <w:jc w:val="center"/>
        <w:rPr>
          <w:rFonts w:ascii="Palatino Linotype" w:eastAsia="Times New Roman" w:hAnsi="Palatino Linotype" w:cs="Arial"/>
          <w:b/>
          <w:sz w:val="24"/>
          <w:szCs w:val="24"/>
          <w:lang w:val="es-ES" w:eastAsia="es-ES"/>
        </w:rPr>
      </w:pPr>
      <w:r w:rsidRPr="00C65F6A">
        <w:rPr>
          <w:rFonts w:ascii="Palatino Linotype" w:eastAsia="Times New Roman" w:hAnsi="Palatino Linotype" w:cs="Arial"/>
          <w:b/>
          <w:sz w:val="24"/>
          <w:szCs w:val="24"/>
          <w:lang w:val="es-ES" w:eastAsia="es-ES"/>
        </w:rPr>
        <w:lastRenderedPageBreak/>
        <w:t>INDICE</w:t>
      </w: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C65F6A" w:rsidRPr="00C65F6A" w:rsidRDefault="00C65F6A" w:rsidP="00C65F6A">
          <w:pPr>
            <w:pStyle w:val="TtulodeTDC"/>
            <w:rPr>
              <w:rFonts w:ascii="Palatino Linotype" w:hAnsi="Palatino Linotype"/>
              <w:b/>
              <w:color w:val="auto"/>
              <w:sz w:val="24"/>
              <w:lang w:val="es-ES"/>
            </w:rPr>
          </w:pPr>
        </w:p>
        <w:p w:rsidR="00C65F6A" w:rsidRPr="00C65F6A" w:rsidRDefault="00DC11A3">
          <w:pPr>
            <w:pStyle w:val="TDC1"/>
            <w:tabs>
              <w:tab w:val="left" w:pos="440"/>
              <w:tab w:val="right" w:leader="dot" w:pos="8828"/>
            </w:tabs>
            <w:rPr>
              <w:rFonts w:ascii="Palatino Linotype" w:eastAsiaTheme="minorEastAsia" w:hAnsi="Palatino Linotype"/>
              <w:noProof/>
              <w:sz w:val="24"/>
              <w:szCs w:val="24"/>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1734634" w:history="1">
            <w:r w:rsidR="00C65F6A" w:rsidRPr="00C65F6A">
              <w:rPr>
                <w:rStyle w:val="Hipervnculo"/>
                <w:rFonts w:ascii="Palatino Linotype" w:hAnsi="Palatino Linotype"/>
                <w:b/>
                <w:noProof/>
                <w:sz w:val="24"/>
                <w:szCs w:val="24"/>
              </w:rPr>
              <w:t>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Consideraciones generales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_Toc1734634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2</w:t>
            </w:r>
            <w:r w:rsidR="00C65F6A" w:rsidRPr="00C65F6A">
              <w:rPr>
                <w:rFonts w:ascii="Palatino Linotype" w:hAnsi="Palatino Linotype"/>
                <w:noProof/>
                <w:webHidden/>
                <w:sz w:val="24"/>
                <w:szCs w:val="24"/>
              </w:rPr>
              <w:fldChar w:fldCharType="end"/>
            </w:r>
          </w:hyperlink>
        </w:p>
        <w:p w:rsidR="00C65F6A" w:rsidRPr="00C65F6A" w:rsidRDefault="008A17CC">
          <w:pPr>
            <w:pStyle w:val="TDC1"/>
            <w:tabs>
              <w:tab w:val="left" w:pos="660"/>
              <w:tab w:val="right" w:leader="dot" w:pos="8828"/>
            </w:tabs>
            <w:rPr>
              <w:rFonts w:ascii="Palatino Linotype" w:eastAsiaTheme="minorEastAsia" w:hAnsi="Palatino Linotype"/>
              <w:noProof/>
              <w:sz w:val="24"/>
              <w:szCs w:val="24"/>
              <w:lang w:eastAsia="es-MX"/>
            </w:rPr>
          </w:pPr>
          <w:hyperlink w:anchor="_Toc1734635" w:history="1">
            <w:r w:rsidR="00C65F6A" w:rsidRPr="00C65F6A">
              <w:rPr>
                <w:rStyle w:val="Hipervnculo"/>
                <w:rFonts w:ascii="Palatino Linotype" w:hAnsi="Palatino Linotype"/>
                <w:b/>
                <w:noProof/>
                <w:sz w:val="24"/>
                <w:szCs w:val="24"/>
              </w:rPr>
              <w:t>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La condición de definitividad de las resoluciones de los órganos garantes del derecho de acceso a la información pública.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_Toc1734635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3</w:t>
            </w:r>
            <w:r w:rsidR="00C65F6A" w:rsidRPr="00C65F6A">
              <w:rPr>
                <w:rFonts w:ascii="Palatino Linotype" w:hAnsi="Palatino Linotype"/>
                <w:noProof/>
                <w:webHidden/>
                <w:sz w:val="24"/>
                <w:szCs w:val="24"/>
              </w:rPr>
              <w:fldChar w:fldCharType="end"/>
            </w:r>
          </w:hyperlink>
        </w:p>
        <w:p w:rsidR="00C65F6A" w:rsidRPr="00C65F6A" w:rsidRDefault="008A17CC">
          <w:pPr>
            <w:pStyle w:val="TDC1"/>
            <w:tabs>
              <w:tab w:val="left" w:pos="660"/>
              <w:tab w:val="right" w:leader="dot" w:pos="8828"/>
            </w:tabs>
            <w:rPr>
              <w:rFonts w:ascii="Palatino Linotype" w:eastAsiaTheme="minorEastAsia" w:hAnsi="Palatino Linotype"/>
              <w:noProof/>
              <w:sz w:val="24"/>
              <w:szCs w:val="24"/>
              <w:lang w:eastAsia="es-MX"/>
            </w:rPr>
          </w:pPr>
          <w:hyperlink w:anchor="_Toc1734636" w:history="1">
            <w:r w:rsidR="00C65F6A" w:rsidRPr="00C65F6A">
              <w:rPr>
                <w:rStyle w:val="Hipervnculo"/>
                <w:rFonts w:ascii="Palatino Linotype" w:hAnsi="Palatino Linotype"/>
                <w:b/>
                <w:noProof/>
                <w:sz w:val="24"/>
                <w:szCs w:val="24"/>
                <w:lang w:val="es-ES"/>
              </w:rPr>
              <w:t>III.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La naturaleza de los Sujetos Obligados.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_Toc1734636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6</w:t>
            </w:r>
            <w:r w:rsidR="00C65F6A" w:rsidRPr="00C65F6A">
              <w:rPr>
                <w:rFonts w:ascii="Palatino Linotype" w:hAnsi="Palatino Linotype"/>
                <w:noProof/>
                <w:webHidden/>
                <w:sz w:val="24"/>
                <w:szCs w:val="24"/>
              </w:rPr>
              <w:fldChar w:fldCharType="end"/>
            </w:r>
          </w:hyperlink>
        </w:p>
        <w:p w:rsidR="00C65F6A" w:rsidRPr="00C65F6A" w:rsidRDefault="008A17CC">
          <w:pPr>
            <w:pStyle w:val="TDC1"/>
            <w:tabs>
              <w:tab w:val="left" w:pos="660"/>
              <w:tab w:val="right" w:leader="dot" w:pos="8828"/>
            </w:tabs>
            <w:rPr>
              <w:rFonts w:ascii="Palatino Linotype" w:eastAsiaTheme="minorEastAsia" w:hAnsi="Palatino Linotype"/>
              <w:noProof/>
              <w:sz w:val="24"/>
              <w:szCs w:val="24"/>
              <w:lang w:eastAsia="es-MX"/>
            </w:rPr>
          </w:pPr>
          <w:hyperlink w:anchor="_Toc1734637" w:history="1">
            <w:r w:rsidR="00C65F6A" w:rsidRPr="00C65F6A">
              <w:rPr>
                <w:rStyle w:val="Hipervnculo"/>
                <w:rFonts w:ascii="Palatino Linotype" w:hAnsi="Palatino Linotype"/>
                <w:b/>
                <w:noProof/>
                <w:sz w:val="24"/>
                <w:szCs w:val="24"/>
                <w:lang w:val="es-ES"/>
              </w:rPr>
              <w:t>IV.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Problema y propuesta.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_Toc1734637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15</w:t>
            </w:r>
            <w:r w:rsidR="00C65F6A" w:rsidRPr="00C65F6A">
              <w:rPr>
                <w:rFonts w:ascii="Palatino Linotype" w:hAnsi="Palatino Linotype"/>
                <w:noProof/>
                <w:webHidden/>
                <w:sz w:val="24"/>
                <w:szCs w:val="24"/>
              </w:rPr>
              <w:fldChar w:fldCharType="end"/>
            </w:r>
          </w:hyperlink>
        </w:p>
        <w:p w:rsidR="00C65F6A" w:rsidRPr="00C65F6A" w:rsidRDefault="008A17CC">
          <w:pPr>
            <w:pStyle w:val="TDC1"/>
            <w:tabs>
              <w:tab w:val="left" w:pos="660"/>
              <w:tab w:val="right" w:leader="dot" w:pos="8828"/>
            </w:tabs>
            <w:rPr>
              <w:rFonts w:ascii="Palatino Linotype" w:eastAsiaTheme="minorEastAsia" w:hAnsi="Palatino Linotype"/>
              <w:noProof/>
              <w:sz w:val="24"/>
              <w:szCs w:val="24"/>
              <w:lang w:eastAsia="es-MX"/>
            </w:rPr>
          </w:pPr>
          <w:hyperlink w:anchor="_Toc1734638" w:history="1">
            <w:r w:rsidR="00C65F6A" w:rsidRPr="00C65F6A">
              <w:rPr>
                <w:rStyle w:val="Hipervnculo"/>
                <w:rFonts w:ascii="Palatino Linotype" w:hAnsi="Palatino Linotype"/>
                <w:b/>
                <w:noProof/>
                <w:sz w:val="24"/>
                <w:szCs w:val="24"/>
                <w:lang w:val="es-ES"/>
              </w:rPr>
              <w:t>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Conclusión.</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_Toc1734638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18</w:t>
            </w:r>
            <w:r w:rsidR="00C65F6A" w:rsidRPr="00C65F6A">
              <w:rPr>
                <w:rFonts w:ascii="Palatino Linotype" w:hAnsi="Palatino Linotype"/>
                <w:noProof/>
                <w:webHidden/>
                <w:sz w:val="24"/>
                <w:szCs w:val="24"/>
              </w:rPr>
              <w:fldChar w:fldCharType="end"/>
            </w:r>
          </w:hyperlink>
        </w:p>
        <w:p w:rsidR="00DC11A3" w:rsidRPr="00C65F6A" w:rsidRDefault="00DC11A3" w:rsidP="00C65F6A">
          <w:r>
            <w:rPr>
              <w:b/>
              <w:bCs/>
              <w:lang w:val="es-ES"/>
            </w:rPr>
            <w:fldChar w:fldCharType="end"/>
          </w:r>
        </w:p>
      </w:sdtContent>
    </w:sdt>
    <w:p w:rsidR="00C65F6A" w:rsidRDefault="00627CAE" w:rsidP="00C65F6A">
      <w:pPr>
        <w:pStyle w:val="Ttulo1"/>
        <w:numPr>
          <w:ilvl w:val="0"/>
          <w:numId w:val="16"/>
        </w:numPr>
        <w:ind w:left="0" w:firstLine="0"/>
        <w:rPr>
          <w:rFonts w:ascii="Palatino Linotype" w:hAnsi="Palatino Linotype"/>
          <w:b/>
          <w:color w:val="auto"/>
          <w:sz w:val="24"/>
        </w:rPr>
      </w:pPr>
      <w:bookmarkStart w:id="1" w:name="_Toc1734634"/>
      <w:r w:rsidRPr="00DC11A3">
        <w:rPr>
          <w:rFonts w:ascii="Palatino Linotype" w:hAnsi="Palatino Linotype"/>
          <w:b/>
          <w:color w:val="auto"/>
          <w:sz w:val="24"/>
        </w:rPr>
        <w:t>Consideraciones generales</w:t>
      </w:r>
      <w:bookmarkEnd w:id="1"/>
    </w:p>
    <w:p w:rsidR="00C65F6A" w:rsidRPr="00C65F6A" w:rsidRDefault="00C65F6A" w:rsidP="00C65F6A"/>
    <w:p w:rsidR="00627CAE" w:rsidRDefault="00627CAE" w:rsidP="00351453">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w:t>
      </w:r>
      <w:r w:rsidR="004D201E">
        <w:rPr>
          <w:rFonts w:ascii="Palatino Linotype" w:eastAsia="Times New Roman" w:hAnsi="Palatino Linotype" w:cs="Arial"/>
          <w:sz w:val="24"/>
          <w:szCs w:val="24"/>
          <w:lang w:val="es-ES_tradnl"/>
        </w:rPr>
        <w:t>currido con mi voto particular en</w:t>
      </w:r>
      <w:r w:rsidRPr="0037358E">
        <w:rPr>
          <w:rFonts w:ascii="Palatino Linotype" w:eastAsia="Times New Roman" w:hAnsi="Palatino Linotype" w:cs="Arial"/>
          <w:sz w:val="24"/>
          <w:szCs w:val="24"/>
          <w:lang w:val="es-ES_tradnl"/>
        </w:rPr>
        <w:t xml:space="preserv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F22581">
        <w:rPr>
          <w:rFonts w:ascii="Palatino Linotype" w:hAnsi="Palatino Linotype" w:cs="Arial"/>
          <w:sz w:val="24"/>
          <w:szCs w:val="24"/>
        </w:rPr>
        <w:t>Primera Sesión O</w:t>
      </w:r>
      <w:r w:rsidRPr="0037358E">
        <w:rPr>
          <w:rFonts w:ascii="Palatino Linotype" w:hAnsi="Palatino Linotype" w:cs="Arial"/>
          <w:sz w:val="24"/>
          <w:szCs w:val="24"/>
        </w:rPr>
        <w:t xml:space="preserve">rdinaria llevada a cabo el </w:t>
      </w:r>
      <w:r w:rsidR="00F22581">
        <w:rPr>
          <w:rFonts w:ascii="Palatino Linotype" w:hAnsi="Palatino Linotype" w:cs="Arial"/>
          <w:sz w:val="24"/>
          <w:szCs w:val="24"/>
        </w:rPr>
        <w:t>diez</w:t>
      </w:r>
      <w:r w:rsidRPr="0037358E">
        <w:rPr>
          <w:rFonts w:ascii="Palatino Linotype" w:hAnsi="Palatino Linotype" w:cs="Arial"/>
          <w:sz w:val="24"/>
          <w:szCs w:val="24"/>
        </w:rPr>
        <w:t xml:space="preserve"> (</w:t>
      </w:r>
      <w:r w:rsidR="00F22581">
        <w:rPr>
          <w:rFonts w:ascii="Palatino Linotype" w:hAnsi="Palatino Linotype" w:cs="Arial"/>
          <w:sz w:val="24"/>
          <w:szCs w:val="24"/>
        </w:rPr>
        <w:t>10</w:t>
      </w:r>
      <w:r w:rsidRPr="0037358E">
        <w:rPr>
          <w:rFonts w:ascii="Palatino Linotype" w:hAnsi="Palatino Linotype" w:cs="Arial"/>
          <w:sz w:val="24"/>
          <w:szCs w:val="24"/>
        </w:rPr>
        <w:t xml:space="preserve">) de </w:t>
      </w:r>
      <w:r w:rsidR="00F22581">
        <w:rPr>
          <w:rFonts w:ascii="Palatino Linotype" w:hAnsi="Palatino Linotype" w:cs="Arial"/>
          <w:sz w:val="24"/>
          <w:szCs w:val="24"/>
        </w:rPr>
        <w:t>enero</w:t>
      </w:r>
      <w:r w:rsidRPr="0037358E">
        <w:rPr>
          <w:rFonts w:ascii="Palatino Linotype" w:hAnsi="Palatino Linotype" w:cs="Arial"/>
          <w:sz w:val="24"/>
          <w:szCs w:val="24"/>
        </w:rPr>
        <w:t xml:space="preserve"> del año en curso, en el recurso de revisión promovido 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del </w:t>
      </w:r>
      <w:r w:rsidR="00775E57" w:rsidRPr="00A948EF">
        <w:rPr>
          <w:rFonts w:ascii="Palatino Linotype" w:hAnsi="Palatino Linotype" w:cs="Arial"/>
          <w:b/>
          <w:sz w:val="24"/>
          <w:szCs w:val="24"/>
        </w:rPr>
        <w:t>Sindicato de Maestros al Servicio del Estado de México</w:t>
      </w:r>
      <w:r w:rsidR="00775E57">
        <w:rPr>
          <w:rFonts w:ascii="Palatino Linotype" w:hAnsi="Palatino Linotype" w:cs="Arial"/>
          <w:b/>
          <w:sz w:val="24"/>
          <w:szCs w:val="24"/>
        </w:rPr>
        <w:t>,</w:t>
      </w:r>
      <w:r w:rsidRPr="00775E57">
        <w:rPr>
          <w:rFonts w:ascii="Palatino Linotype" w:hAnsi="Palatino Linotype" w:cs="Arial"/>
          <w:sz w:val="24"/>
          <w:szCs w:val="24"/>
        </w:rPr>
        <w:t xml:space="preserve"> procedimiento al que se le </w:t>
      </w:r>
      <w:r w:rsidR="004B6A69" w:rsidRPr="00775E57">
        <w:rPr>
          <w:rFonts w:ascii="Palatino Linotype" w:hAnsi="Palatino Linotype" w:cs="Arial"/>
          <w:sz w:val="24"/>
          <w:szCs w:val="24"/>
        </w:rPr>
        <w:t>asignó el número de expediente</w:t>
      </w:r>
      <w:r w:rsidRPr="00775E57">
        <w:rPr>
          <w:rFonts w:ascii="Palatino Linotype" w:hAnsi="Palatino Linotype" w:cs="Arial"/>
          <w:sz w:val="24"/>
          <w:szCs w:val="24"/>
        </w:rPr>
        <w:t xml:space="preserve"> señalado</w:t>
      </w:r>
      <w:r w:rsidR="004B6A69" w:rsidRPr="00775E57">
        <w:rPr>
          <w:rFonts w:ascii="Palatino Linotype" w:hAnsi="Palatino Linotype" w:cs="Arial"/>
          <w:sz w:val="24"/>
          <w:szCs w:val="24"/>
        </w:rPr>
        <w:t xml:space="preserve"> al rubro</w:t>
      </w:r>
      <w:r w:rsidRPr="00775E57">
        <w:rPr>
          <w:rFonts w:ascii="Palatino Linotype" w:hAnsi="Palatino Linotype" w:cs="Arial"/>
          <w:sz w:val="24"/>
          <w:szCs w:val="24"/>
        </w:rPr>
        <w:t>.</w:t>
      </w:r>
    </w:p>
    <w:p w:rsidR="00775E57" w:rsidRPr="00775E57" w:rsidRDefault="00775E57" w:rsidP="00351453">
      <w:pPr>
        <w:pStyle w:val="Prrafodelista"/>
        <w:spacing w:after="0" w:line="360" w:lineRule="auto"/>
        <w:ind w:left="0"/>
        <w:jc w:val="both"/>
        <w:rPr>
          <w:rFonts w:ascii="Palatino Linotype" w:hAnsi="Palatino Linotype" w:cs="Arial"/>
          <w:sz w:val="24"/>
          <w:szCs w:val="24"/>
        </w:rPr>
      </w:pPr>
    </w:p>
    <w:p w:rsidR="00627CA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La resolución </w:t>
      </w:r>
      <w:r w:rsidR="004D201E">
        <w:rPr>
          <w:rFonts w:ascii="Palatino Linotype" w:hAnsi="Palatino Linotype" w:cs="Arial"/>
          <w:sz w:val="24"/>
          <w:szCs w:val="24"/>
        </w:rPr>
        <w:t>Sobresee el recurso de revisión por quedarse sin materia</w:t>
      </w:r>
      <w:r w:rsidR="004D201E">
        <w:rPr>
          <w:rFonts w:ascii="Palatino Linotype" w:eastAsia="Times New Roman" w:hAnsi="Palatino Linotype" w:cs="Arial"/>
          <w:sz w:val="24"/>
          <w:szCs w:val="24"/>
        </w:rPr>
        <w:t>, y</w:t>
      </w:r>
      <w:r w:rsidRPr="0037358E">
        <w:rPr>
          <w:rFonts w:ascii="Palatino Linotype" w:eastAsia="Times New Roman" w:hAnsi="Palatino Linotype" w:cs="Arial"/>
          <w:sz w:val="24"/>
          <w:szCs w:val="24"/>
        </w:rPr>
        <w:t xml:space="preserve"> en su resolutivo </w:t>
      </w:r>
      <w:r w:rsidR="004D201E">
        <w:rPr>
          <w:rFonts w:ascii="Palatino Linotype" w:eastAsia="Times New Roman" w:hAnsi="Palatino Linotype" w:cs="Arial"/>
          <w:sz w:val="24"/>
          <w:szCs w:val="24"/>
        </w:rPr>
        <w:t>cuarto</w:t>
      </w:r>
      <w:r w:rsidR="00924FD2">
        <w:rPr>
          <w:rFonts w:ascii="Palatino Linotype" w:eastAsia="Times New Roman" w:hAnsi="Palatino Linotype" w:cs="Arial"/>
          <w:sz w:val="24"/>
          <w:szCs w:val="24"/>
        </w:rPr>
        <w:t xml:space="preserve"> </w:t>
      </w:r>
      <w:r w:rsidRPr="0037358E">
        <w:rPr>
          <w:rFonts w:ascii="Palatino Linotype" w:eastAsia="Times New Roman" w:hAnsi="Palatino Linotype" w:cs="Arial"/>
          <w:sz w:val="24"/>
          <w:szCs w:val="24"/>
        </w:rPr>
        <w:t xml:space="preserve">informa </w:t>
      </w:r>
      <w:r w:rsidR="00DC11A3" w:rsidRPr="0037358E">
        <w:rPr>
          <w:rFonts w:ascii="Palatino Linotype" w:eastAsia="Times New Roman" w:hAnsi="Palatino Linotype" w:cs="Arial"/>
          <w:sz w:val="24"/>
          <w:szCs w:val="24"/>
        </w:rPr>
        <w:t>a</w:t>
      </w:r>
      <w:r w:rsidR="00407A2F">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sidR="004D201E">
        <w:rPr>
          <w:rFonts w:ascii="Palatino Linotype" w:eastAsia="Times New Roman" w:hAnsi="Palatino Linotype" w:cs="Arial"/>
          <w:sz w:val="24"/>
          <w:szCs w:val="24"/>
        </w:rPr>
        <w:t xml:space="preserve"> que, de “conformidad con lo establecido en el artículo 196 de la Ley de Trasparencia y Acceso a la Información Pública del Estado de México y Municipios, podrá impugnarla vía Juicio de Amparo en los </w:t>
      </w:r>
      <w:r w:rsidR="004D201E">
        <w:rPr>
          <w:rFonts w:ascii="Palatino Linotype" w:eastAsia="Times New Roman" w:hAnsi="Palatino Linotype" w:cs="Arial"/>
          <w:sz w:val="24"/>
          <w:szCs w:val="24"/>
        </w:rPr>
        <w:lastRenderedPageBreak/>
        <w:t>términos de las leyes aplicables”</w:t>
      </w:r>
      <w:r w:rsidRPr="0037358E">
        <w:rPr>
          <w:rFonts w:ascii="Palatino Linotype" w:hAnsi="Palatino Linotype" w:cs="Arial"/>
          <w:sz w:val="24"/>
          <w:szCs w:val="24"/>
        </w:rPr>
        <w:t xml:space="preserve">. Sobre dicho resolutivo es que me aparto </w:t>
      </w:r>
      <w:r w:rsidR="003416F2">
        <w:rPr>
          <w:rFonts w:ascii="Palatino Linotype" w:hAnsi="Palatino Linotype" w:cs="Arial"/>
          <w:sz w:val="24"/>
          <w:szCs w:val="24"/>
        </w:rPr>
        <w:t xml:space="preserve">del resto de mis compañeros comisionados integrantes del pleno, </w:t>
      </w:r>
      <w:r w:rsidRPr="0037358E">
        <w:rPr>
          <w:rFonts w:ascii="Palatino Linotype" w:hAnsi="Palatino Linotype" w:cs="Arial"/>
          <w:sz w:val="24"/>
          <w:szCs w:val="24"/>
        </w:rPr>
        <w:t xml:space="preserve">ya que si bien esa fórmula es generalmente empleada en las resoluciones, resulta ser una decisión inadecuada para </w:t>
      </w:r>
      <w:r w:rsidR="004D201E">
        <w:rPr>
          <w:rFonts w:ascii="Palatino Linotype" w:hAnsi="Palatino Linotype" w:cs="Arial"/>
          <w:sz w:val="24"/>
          <w:szCs w:val="24"/>
        </w:rPr>
        <w:t>el presente caso en part</w:t>
      </w:r>
      <w:r w:rsidR="00C64006">
        <w:rPr>
          <w:rFonts w:ascii="Palatino Linotype" w:hAnsi="Palatino Linotype" w:cs="Arial"/>
          <w:sz w:val="24"/>
          <w:szCs w:val="24"/>
        </w:rPr>
        <w:t>icular</w:t>
      </w:r>
      <w:r w:rsidR="004D201E">
        <w:rPr>
          <w:rFonts w:ascii="Palatino Linotype" w:hAnsi="Palatino Linotype" w:cs="Arial"/>
          <w:sz w:val="24"/>
          <w:szCs w:val="24"/>
        </w:rPr>
        <w:t xml:space="preserve"> toda vez que los sindicatos como personas </w:t>
      </w:r>
      <w:r w:rsidR="00C64006">
        <w:rPr>
          <w:rFonts w:ascii="Palatino Linotype" w:hAnsi="Palatino Linotype" w:cs="Arial"/>
          <w:sz w:val="24"/>
          <w:szCs w:val="24"/>
        </w:rPr>
        <w:t xml:space="preserve">morales, </w:t>
      </w:r>
      <w:r w:rsidR="004D201E">
        <w:rPr>
          <w:rFonts w:ascii="Palatino Linotype" w:hAnsi="Palatino Linotype" w:cs="Arial"/>
          <w:sz w:val="24"/>
          <w:szCs w:val="24"/>
        </w:rPr>
        <w:t>tienen derecho a</w:t>
      </w:r>
      <w:r w:rsidR="00C64006">
        <w:rPr>
          <w:rFonts w:ascii="Palatino Linotype" w:hAnsi="Palatino Linotype" w:cs="Arial"/>
          <w:sz w:val="24"/>
          <w:szCs w:val="24"/>
        </w:rPr>
        <w:t xml:space="preserve"> la justicia. </w:t>
      </w:r>
      <w:r w:rsidR="004D201E">
        <w:rPr>
          <w:rFonts w:ascii="Palatino Linotype" w:hAnsi="Palatino Linotype" w:cs="Arial"/>
          <w:sz w:val="24"/>
          <w:szCs w:val="24"/>
        </w:rPr>
        <w:t xml:space="preserve"> </w:t>
      </w:r>
    </w:p>
    <w:p w:rsidR="00627CAE" w:rsidRPr="002E0BA4" w:rsidRDefault="00627CAE" w:rsidP="00351453">
      <w:pPr>
        <w:pStyle w:val="Prrafodelista"/>
        <w:ind w:left="0"/>
        <w:rPr>
          <w:rFonts w:ascii="Palatino Linotype" w:hAnsi="Palatino Linotype" w:cs="Arial"/>
          <w:sz w:val="24"/>
          <w:szCs w:val="24"/>
        </w:rPr>
      </w:pPr>
    </w:p>
    <w:p w:rsidR="00627CA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51453">
      <w:pPr>
        <w:pStyle w:val="Prrafodelista"/>
        <w:ind w:left="0"/>
        <w:rPr>
          <w:rFonts w:ascii="Palatino Linotype" w:hAnsi="Palatino Linotype" w:cs="Arial"/>
          <w:sz w:val="24"/>
          <w:szCs w:val="24"/>
        </w:rPr>
      </w:pPr>
    </w:p>
    <w:p w:rsidR="00627CAE" w:rsidRPr="00C65F6A" w:rsidRDefault="00627CAE" w:rsidP="00C65F6A">
      <w:pPr>
        <w:pStyle w:val="Ttulo1"/>
        <w:numPr>
          <w:ilvl w:val="0"/>
          <w:numId w:val="16"/>
        </w:numPr>
        <w:ind w:left="0" w:firstLine="0"/>
        <w:rPr>
          <w:rFonts w:ascii="Palatino Linotype" w:hAnsi="Palatino Linotype"/>
          <w:b/>
          <w:color w:val="auto"/>
          <w:sz w:val="24"/>
        </w:rPr>
      </w:pPr>
      <w:bookmarkStart w:id="2" w:name="_Toc1734635"/>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351453">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lastRenderedPageBreak/>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351453">
      <w:pPr>
        <w:pStyle w:val="Prrafodelista"/>
        <w:ind w:left="0"/>
        <w:rPr>
          <w:rFonts w:ascii="Palatino Linotype" w:hAnsi="Palatino Linotype" w:cs="Arial"/>
          <w:sz w:val="24"/>
          <w:szCs w:val="24"/>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351453">
      <w:pPr>
        <w:pStyle w:val="Prrafodelista"/>
        <w:ind w:left="0"/>
        <w:rPr>
          <w:rFonts w:ascii="Palatino Linotype" w:hAnsi="Palatino Linotype" w:cs="Arial"/>
          <w:color w:val="000000" w:themeColor="text1"/>
          <w:sz w:val="24"/>
          <w:szCs w:val="24"/>
          <w:lang w:val="es-ES"/>
        </w:rPr>
      </w:pPr>
    </w:p>
    <w:p w:rsidR="00627CAE" w:rsidRPr="00F7738C"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lastRenderedPageBreak/>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94A91">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lastRenderedPageBreak/>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627CAE" w:rsidRPr="0037358E" w:rsidRDefault="00627CAE" w:rsidP="00351453">
      <w:pPr>
        <w:pStyle w:val="Prrafodelista"/>
        <w:spacing w:before="240" w:after="0" w:line="360" w:lineRule="auto"/>
        <w:ind w:left="0"/>
        <w:jc w:val="both"/>
        <w:rPr>
          <w:rFonts w:ascii="Palatino Linotype" w:hAnsi="Palatino Linotype" w:cs="Arial"/>
          <w:sz w:val="24"/>
          <w:szCs w:val="24"/>
        </w:rPr>
      </w:pPr>
    </w:p>
    <w:p w:rsidR="00351453" w:rsidRPr="00C65F6A" w:rsidRDefault="00627CAE" w:rsidP="00C65F6A">
      <w:pPr>
        <w:pStyle w:val="Ttulo1"/>
        <w:numPr>
          <w:ilvl w:val="0"/>
          <w:numId w:val="16"/>
        </w:numPr>
        <w:ind w:left="0" w:firstLine="0"/>
        <w:rPr>
          <w:rFonts w:ascii="Palatino Linotype" w:hAnsi="Palatino Linotype"/>
          <w:b/>
          <w:color w:val="auto"/>
          <w:sz w:val="24"/>
          <w:lang w:val="es-ES"/>
        </w:rPr>
      </w:pPr>
      <w:bookmarkStart w:id="3" w:name="_Toc1734636"/>
      <w:r w:rsidRPr="00DC11A3">
        <w:rPr>
          <w:rFonts w:ascii="Palatino Linotype" w:hAnsi="Palatino Linotype"/>
          <w:b/>
          <w:color w:val="auto"/>
          <w:sz w:val="24"/>
          <w:lang w:val="es-ES"/>
        </w:rPr>
        <w:t>La naturaleza de los Sujetos Obligados.</w:t>
      </w:r>
      <w:bookmarkEnd w:id="3"/>
    </w:p>
    <w:p w:rsidR="00351453" w:rsidRPr="00351453" w:rsidRDefault="00351453"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sz w:val="24"/>
          <w:szCs w:val="24"/>
        </w:rPr>
        <w:t>Así, con la reforma constitucional de febrero de dos mil catorce, se consideró a los Sindicatos como Sujetos Obligados, como de forma expresa lo señala la fracción I del inciso A del mismo artículo 6 de la Constitución Política de los Estados Unidos Mexicanos, dictando.</w:t>
      </w:r>
    </w:p>
    <w:p w:rsidR="00351453" w:rsidRPr="00351453" w:rsidRDefault="00351453" w:rsidP="00351453">
      <w:pPr>
        <w:spacing w:after="0" w:line="360" w:lineRule="auto"/>
        <w:jc w:val="both"/>
        <w:rPr>
          <w:rFonts w:ascii="Palatino Linotype" w:hAnsi="Palatino Linotype"/>
          <w:sz w:val="24"/>
          <w:szCs w:val="24"/>
        </w:rPr>
      </w:pP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i/>
          <w:szCs w:val="24"/>
        </w:rPr>
        <w:t>“</w:t>
      </w:r>
      <w:r w:rsidRPr="00694A91">
        <w:rPr>
          <w:rFonts w:ascii="Palatino Linotype" w:hAnsi="Palatino Linotype"/>
          <w:b/>
          <w:i/>
          <w:szCs w:val="24"/>
        </w:rPr>
        <w:t>6.</w:t>
      </w:r>
      <w:r w:rsidRPr="00694A91">
        <w:rPr>
          <w:rFonts w:ascii="Palatino Linotype" w:hAnsi="Palatino Linotype"/>
          <w:i/>
          <w:szCs w:val="24"/>
        </w:rPr>
        <w:t xml:space="preserve"> </w:t>
      </w: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i/>
          <w:szCs w:val="24"/>
        </w:rPr>
        <w:t>…</w:t>
      </w:r>
    </w:p>
    <w:p w:rsidR="00351453" w:rsidRPr="00694A91" w:rsidRDefault="00351453" w:rsidP="00351453">
      <w:pPr>
        <w:spacing w:after="0" w:line="360" w:lineRule="auto"/>
        <w:ind w:left="567" w:right="616"/>
        <w:jc w:val="both"/>
        <w:rPr>
          <w:rFonts w:ascii="Palatino Linotype" w:hAnsi="Palatino Linotype"/>
          <w:b/>
          <w:i/>
          <w:szCs w:val="24"/>
        </w:rPr>
      </w:pPr>
      <w:r w:rsidRPr="00694A91">
        <w:rPr>
          <w:rFonts w:ascii="Palatino Linotype" w:hAnsi="Palatino Linotype"/>
          <w:b/>
          <w:i/>
          <w:szCs w:val="24"/>
        </w:rPr>
        <w:t>A.</w:t>
      </w: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b/>
          <w:i/>
          <w:szCs w:val="24"/>
        </w:rPr>
        <w:lastRenderedPageBreak/>
        <w:t>I.</w:t>
      </w:r>
      <w:r w:rsidRPr="00694A91">
        <w:rPr>
          <w:rFonts w:ascii="Palatino Linotype" w:hAnsi="Palatino Linotype"/>
          <w:i/>
          <w:szCs w:val="24"/>
        </w:rPr>
        <w:t xml:space="preserve"> Toda la información en posesión de cualquier autoridad, entidad, órgano y organismo de los Poderes Ejecutivo, Legislativo y Judicial, órganos autónomos, partidos políticos, fideicomisos y fondos públicos, </w:t>
      </w:r>
      <w:r w:rsidRPr="00694A91">
        <w:rPr>
          <w:rFonts w:ascii="Palatino Linotype" w:hAnsi="Palatino Linotype"/>
          <w:b/>
          <w:i/>
          <w:szCs w:val="24"/>
        </w:rPr>
        <w:t>así como de cualquier persona física, moral o sindicato que reciba y ejerza recursos públicos o realice actos de autoridad en el ámbito federal, estatal y municipal</w:t>
      </w:r>
      <w:r w:rsidRPr="00694A91">
        <w:rPr>
          <w:rFonts w:ascii="Palatino Linotype" w:hAnsi="Palatino Linotype"/>
          <w:i/>
          <w:szCs w:val="24"/>
        </w:rPr>
        <w:t>,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51453" w:rsidRDefault="00351453"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Es decir, u</w:t>
      </w:r>
      <w:r w:rsidRPr="0037358E">
        <w:rPr>
          <w:rFonts w:ascii="Palatino Linotype" w:hAnsi="Palatino Linotype" w:cs="Arial"/>
          <w:color w:val="000000" w:themeColor="text1"/>
          <w:sz w:val="24"/>
          <w:szCs w:val="24"/>
          <w:lang w:val="es-ES"/>
        </w:rPr>
        <w:t>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w:t>
      </w:r>
      <w:r>
        <w:rPr>
          <w:rFonts w:ascii="Palatino Linotype" w:hAnsi="Palatino Linotype" w:cs="Arial"/>
          <w:color w:val="000000" w:themeColor="text1"/>
          <w:sz w:val="24"/>
          <w:szCs w:val="24"/>
          <w:lang w:val="es-ES"/>
        </w:rPr>
        <w:t>orque sus actividades se financi</w:t>
      </w:r>
      <w:r w:rsidRPr="0037358E">
        <w:rPr>
          <w:rFonts w:ascii="Palatino Linotype" w:hAnsi="Palatino Linotype" w:cs="Arial"/>
          <w:color w:val="000000" w:themeColor="text1"/>
          <w:sz w:val="24"/>
          <w:szCs w:val="24"/>
          <w:lang w:val="es-ES"/>
        </w:rPr>
        <w:t>an mayoritariamente con recursos públicos.</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w:t>
      </w:r>
      <w:r w:rsidRPr="00351453">
        <w:rPr>
          <w:rFonts w:ascii="Palatino Linotype" w:hAnsi="Palatino Linotype" w:cs="Arial"/>
          <w:color w:val="000000" w:themeColor="text1"/>
          <w:sz w:val="24"/>
          <w:szCs w:val="24"/>
          <w:lang w:val="es-ES"/>
        </w:rPr>
        <w:lastRenderedPageBreak/>
        <w:t>precisamente esta condición común, la naturaleza de personas, lo que nos provoca un problema de relevancia jurídica sobre el cual este Órgano Garante se enc</w:t>
      </w:r>
      <w:r w:rsidR="00351453">
        <w:rPr>
          <w:rFonts w:ascii="Palatino Linotype" w:hAnsi="Palatino Linotype" w:cs="Arial"/>
          <w:color w:val="000000" w:themeColor="text1"/>
          <w:sz w:val="24"/>
          <w:szCs w:val="24"/>
          <w:lang w:val="es-ES"/>
        </w:rPr>
        <w:t>uentra obligado a pronunciarse.</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694A91"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Se tiene que persona </w:t>
      </w:r>
      <w:r w:rsidRPr="00351453">
        <w:rPr>
          <w:rFonts w:ascii="Palatino Linotype" w:hAnsi="Palatino Linotype" w:cs="Arial"/>
          <w:i/>
          <w:color w:val="000000" w:themeColor="text1"/>
          <w:sz w:val="24"/>
          <w:szCs w:val="24"/>
          <w:lang w:val="es-ES"/>
        </w:rPr>
        <w:t>es “ 1. f. Individuo de la especie humana. 2. f. Hombre o mujer cuyo nombre se ignora o se omite….”</w:t>
      </w:r>
      <w:r w:rsidRPr="00351453">
        <w:rPr>
          <w:rFonts w:ascii="Palatino Linotype" w:hAnsi="Palatino Linotype" w:cs="Arial"/>
          <w:color w:val="000000" w:themeColor="text1"/>
          <w:sz w:val="24"/>
          <w:szCs w:val="24"/>
          <w:lang w:val="es-ES"/>
        </w:rPr>
        <w:t xml:space="preserve"> mientras que por persona jurídica se ha señalado que deberá entenderse como la  </w:t>
      </w:r>
      <w:r w:rsidRPr="00351453">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51453">
        <w:rPr>
          <w:rFonts w:ascii="Palatino Linotype" w:hAnsi="Palatino Linotype" w:cs="Arial"/>
          <w:color w:val="000000" w:themeColor="text1"/>
          <w:sz w:val="24"/>
          <w:szCs w:val="24"/>
          <w:lang w:val="es-ES"/>
        </w:rPr>
        <w:t xml:space="preserve">  Frente a estas dos figuras se tiene al ente público o autoridad, que se traduce en el “</w:t>
      </w:r>
      <w:r w:rsidRPr="00351453">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94A91" w:rsidRPr="00351453" w:rsidRDefault="00694A91" w:rsidP="00694A91">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51453"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Además, es criterio jurisprudencial de la Suprema Corte de Justicia de la Nación que no existe una diferencia entre las personas físicas y morales, por lo que ambos tipos de personas gozan de derechos humanos, aunque en el caso de las </w:t>
      </w:r>
      <w:r w:rsidRPr="00351453">
        <w:rPr>
          <w:rFonts w:ascii="Palatino Linotype" w:hAnsi="Palatino Linotype" w:cs="Arial"/>
          <w:color w:val="000000" w:themeColor="text1"/>
          <w:sz w:val="24"/>
          <w:szCs w:val="24"/>
          <w:lang w:val="es-ES"/>
        </w:rPr>
        <w:lastRenderedPageBreak/>
        <w:t>morales, debe revisarse cada caso para identificar los derechos que resulten conformes con su naturaleza y sus fines, según puede apreciarse a continuación.</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B67CCF"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B67CCF">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351453">
      <w:pPr>
        <w:pStyle w:val="Prrafodelista"/>
        <w:spacing w:before="240" w:after="0" w:line="360" w:lineRule="auto"/>
        <w:ind w:left="567" w:right="616"/>
        <w:jc w:val="both"/>
        <w:rPr>
          <w:rFonts w:ascii="Palatino Linotype" w:hAnsi="Palatino Linotype" w:cs="Arial"/>
          <w:color w:val="000000" w:themeColor="text1"/>
          <w:sz w:val="24"/>
          <w:szCs w:val="24"/>
          <w:lang w:val="es-ES"/>
        </w:rPr>
      </w:pPr>
    </w:p>
    <w:p w:rsidR="00627CAE" w:rsidRPr="003416F2"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PERSONAS MORALES. SON SUSCEPTIBLES DE LA PROTECCIÓN DE LOS DERECHOS HUMANOS, AL ESTAR INTEGRADAS POR PERSONAS FÍSICAS Y POR TENER EL CARÁCTER DE PARTE EN EL JUICIO DE AMPARO.</w:t>
      </w:r>
      <w:r w:rsidRPr="003416F2">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lastRenderedPageBreak/>
        <w:t xml:space="preserve">(TA) Décima Época. Tribunales Colegiados de Circuito. Semanario Judicial de la Federación y su Gaceta, Libro XVII, Febrero de 2013, Tomo 2, Tesis: I.7o.P.1 K (10a.), Página: 1418. </w:t>
      </w:r>
    </w:p>
    <w:p w:rsidR="00694A91" w:rsidRPr="003416F2" w:rsidRDefault="00694A91"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Pr>
          <w:rFonts w:ascii="Palatino Linotype" w:hAnsi="Palatino Linotype" w:cs="Arial"/>
          <w:i/>
          <w:color w:val="000000" w:themeColor="text1"/>
          <w:szCs w:val="24"/>
          <w:lang w:val="es-ES"/>
        </w:rPr>
        <w:t>(Énfasis añadido)</w:t>
      </w:r>
    </w:p>
    <w:p w:rsidR="004E54FE" w:rsidRDefault="004E54F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4E54FE" w:rsidRDefault="004E54F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Atento a ello es muy importante puntualizar que</w:t>
      </w:r>
      <w:r w:rsidR="00351453">
        <w:rPr>
          <w:rFonts w:ascii="Palatino Linotype" w:hAnsi="Palatino Linotype" w:cs="Arial"/>
          <w:color w:val="000000" w:themeColor="text1"/>
          <w:sz w:val="24"/>
          <w:szCs w:val="24"/>
          <w:lang w:val="es-ES"/>
        </w:rPr>
        <w:t>,</w:t>
      </w:r>
      <w:r>
        <w:rPr>
          <w:rFonts w:ascii="Palatino Linotype" w:hAnsi="Palatino Linotype" w:cs="Arial"/>
          <w:color w:val="000000" w:themeColor="text1"/>
          <w:sz w:val="24"/>
          <w:szCs w:val="24"/>
          <w:lang w:val="es-ES"/>
        </w:rPr>
        <w:t xml:space="preserve"> si bien es cierto que la </w:t>
      </w:r>
      <w:r w:rsidRPr="0037358E">
        <w:rPr>
          <w:rFonts w:ascii="Palatino Linotype" w:hAnsi="Palatino Linotype" w:cs="Arial"/>
          <w:color w:val="000000" w:themeColor="text1"/>
          <w:sz w:val="24"/>
          <w:szCs w:val="24"/>
          <w:lang w:val="es-ES"/>
        </w:rPr>
        <w:t xml:space="preserve">reforma constitucional de febrero de 2014 </w:t>
      </w:r>
      <w:r w:rsidR="00351453">
        <w:rPr>
          <w:rFonts w:ascii="Palatino Linotype" w:hAnsi="Palatino Linotype" w:cs="Arial"/>
          <w:color w:val="000000" w:themeColor="text1"/>
          <w:sz w:val="24"/>
          <w:szCs w:val="24"/>
          <w:lang w:val="es-ES"/>
        </w:rPr>
        <w:t>el Derecho de Acceso a la Información cuenta con</w:t>
      </w:r>
      <w:r w:rsidRPr="0037358E">
        <w:rPr>
          <w:rFonts w:ascii="Palatino Linotype" w:hAnsi="Palatino Linotype" w:cs="Arial"/>
          <w:color w:val="000000" w:themeColor="text1"/>
          <w:sz w:val="24"/>
          <w:szCs w:val="24"/>
          <w:lang w:val="es-ES"/>
        </w:rPr>
        <w:t xml:space="preserve"> la ampliación del catálogo de sujetos obligados</w:t>
      </w:r>
      <w:r>
        <w:rPr>
          <w:rFonts w:ascii="Palatino Linotype" w:hAnsi="Palatino Linotype" w:cs="Arial"/>
          <w:color w:val="000000" w:themeColor="text1"/>
          <w:sz w:val="24"/>
          <w:szCs w:val="24"/>
          <w:lang w:val="es-ES"/>
        </w:rPr>
        <w:t>, también lo es que existen restricciones, toda vez que</w:t>
      </w:r>
      <w:r w:rsidR="00351453">
        <w:rPr>
          <w:rFonts w:ascii="Palatino Linotype" w:hAnsi="Palatino Linotype" w:cs="Arial"/>
          <w:color w:val="000000" w:themeColor="text1"/>
          <w:sz w:val="24"/>
          <w:szCs w:val="24"/>
          <w:lang w:val="es-ES"/>
        </w:rPr>
        <w:t xml:space="preserve"> el respeto a éste </w:t>
      </w:r>
      <w:r>
        <w:rPr>
          <w:rFonts w:ascii="Palatino Linotype" w:hAnsi="Palatino Linotype" w:cs="Arial"/>
          <w:color w:val="000000" w:themeColor="text1"/>
          <w:sz w:val="24"/>
          <w:szCs w:val="24"/>
          <w:lang w:val="es-ES"/>
        </w:rPr>
        <w:t>derecho humano tiene como limitante el respeto a los entes privados.</w:t>
      </w:r>
    </w:p>
    <w:p w:rsidR="00351453" w:rsidRP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w:t>
      </w:r>
      <w:r w:rsidR="00351453">
        <w:rPr>
          <w:rFonts w:ascii="Palatino Linotype" w:hAnsi="Palatino Linotype" w:cs="Arial"/>
          <w:color w:val="000000" w:themeColor="text1"/>
          <w:sz w:val="24"/>
          <w:szCs w:val="24"/>
          <w:lang w:val="es-ES"/>
        </w:rPr>
        <w:t xml:space="preserve"> personalidad para ejercitarlo.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w:t>
      </w:r>
      <w:r w:rsidRPr="00351453">
        <w:rPr>
          <w:rFonts w:ascii="Palatino Linotype" w:hAnsi="Palatino Linotype" w:cs="Arial"/>
          <w:color w:val="000000" w:themeColor="text1"/>
          <w:sz w:val="24"/>
          <w:szCs w:val="24"/>
          <w:lang w:val="es-ES"/>
        </w:rPr>
        <w:lastRenderedPageBreak/>
        <w:t xml:space="preserve">en su patrimonio respecto de relaciones jurídicas en las que se encuentren en un plano de igualdad con los particulares”, según lo señala el primer párrafo del artículo 7 </w:t>
      </w:r>
      <w:r w:rsidR="00351453">
        <w:rPr>
          <w:rFonts w:ascii="Palatino Linotype" w:hAnsi="Palatino Linotype" w:cs="Arial"/>
          <w:color w:val="000000" w:themeColor="text1"/>
          <w:sz w:val="24"/>
          <w:szCs w:val="24"/>
          <w:lang w:val="es-ES"/>
        </w:rPr>
        <w:t>de la Ley de Amparo.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Esa disposición resulta totalmente coherente con</w:t>
      </w:r>
      <w:r w:rsidRPr="00351453">
        <w:rPr>
          <w:rFonts w:ascii="Palatino Linotype" w:hAnsi="Palatino Linotype"/>
          <w:sz w:val="24"/>
          <w:szCs w:val="24"/>
          <w:lang w:val="es-ES_tradnl" w:eastAsia="es-ES_tradnl"/>
        </w:rPr>
        <w:t xml:space="preserve"> </w:t>
      </w:r>
      <w:r w:rsidRPr="00351453">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Así que frente a esta antinomia jurídica, el órgano garante no puede proceder sin pronunciarse al respecto, ya que una decisión que se imponga, sin tutelar el </w:t>
      </w:r>
      <w:r w:rsidRPr="00351453">
        <w:rPr>
          <w:rFonts w:ascii="Palatino Linotype" w:hAnsi="Palatino Linotype" w:cs="Arial"/>
          <w:color w:val="000000" w:themeColor="text1"/>
          <w:sz w:val="24"/>
          <w:szCs w:val="24"/>
          <w:lang w:val="es-ES"/>
        </w:rPr>
        <w:lastRenderedPageBreak/>
        <w:t>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351453" w:rsidRP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A54A3E" w:rsidP="00351453">
      <w:pPr>
        <w:pStyle w:val="Prrafodelista"/>
        <w:spacing w:before="240" w:after="0" w:line="360" w:lineRule="auto"/>
        <w:ind w:left="567" w:right="616"/>
        <w:jc w:val="both"/>
        <w:rPr>
          <w:rFonts w:ascii="Palatino Linotype" w:hAnsi="Palatino Linotype" w:cs="Arial"/>
          <w:i/>
          <w:color w:val="000000" w:themeColor="text1"/>
          <w:sz w:val="24"/>
          <w:szCs w:val="24"/>
          <w:lang w:val="es-ES"/>
        </w:rPr>
      </w:pPr>
      <w:r>
        <w:rPr>
          <w:rFonts w:ascii="Palatino Linotype" w:hAnsi="Palatino Linotype" w:cs="Arial"/>
          <w:i/>
          <w:color w:val="000000" w:themeColor="text1"/>
          <w:sz w:val="24"/>
          <w:szCs w:val="24"/>
          <w:lang w:val="es-ES"/>
        </w:rPr>
        <w:t>“</w:t>
      </w:r>
      <w:r w:rsidR="00627CAE" w:rsidRPr="0037358E">
        <w:rPr>
          <w:rFonts w:ascii="Palatino Linotype" w:hAnsi="Palatino Linotype" w:cs="Arial"/>
          <w:i/>
          <w:color w:val="000000" w:themeColor="text1"/>
          <w:sz w:val="24"/>
          <w:szCs w:val="24"/>
          <w:lang w:val="es-ES"/>
        </w:rPr>
        <w:t xml:space="preserve">100. Este Tribunal considera que el sentido de la </w:t>
      </w:r>
      <w:r w:rsidRPr="0037358E">
        <w:rPr>
          <w:rFonts w:ascii="Palatino Linotype" w:hAnsi="Palatino Linotype" w:cs="Arial"/>
          <w:i/>
          <w:color w:val="000000" w:themeColor="text1"/>
          <w:sz w:val="24"/>
          <w:szCs w:val="24"/>
          <w:lang w:val="es-ES"/>
        </w:rPr>
        <w:t>protección</w:t>
      </w:r>
      <w:r w:rsidR="00627CAE" w:rsidRPr="0037358E">
        <w:rPr>
          <w:rFonts w:ascii="Palatino Linotype" w:hAnsi="Palatino Linotype" w:cs="Arial"/>
          <w:i/>
          <w:color w:val="000000" w:themeColor="text1"/>
          <w:sz w:val="24"/>
          <w:szCs w:val="24"/>
          <w:lang w:val="es-ES"/>
        </w:rPr>
        <w:t xml:space="preserve"> otorgada por el </w:t>
      </w:r>
      <w:r w:rsidRPr="0037358E">
        <w:rPr>
          <w:rFonts w:ascii="Palatino Linotype" w:hAnsi="Palatino Linotype" w:cs="Arial"/>
          <w:i/>
          <w:color w:val="000000" w:themeColor="text1"/>
          <w:sz w:val="24"/>
          <w:szCs w:val="24"/>
          <w:lang w:val="es-ES"/>
        </w:rPr>
        <w:t>artículo</w:t>
      </w:r>
      <w:r w:rsidR="00627CAE" w:rsidRPr="0037358E">
        <w:rPr>
          <w:rFonts w:ascii="Palatino Linotype" w:hAnsi="Palatino Linotype" w:cs="Arial"/>
          <w:i/>
          <w:color w:val="000000" w:themeColor="text1"/>
          <w:sz w:val="24"/>
          <w:szCs w:val="24"/>
          <w:lang w:val="es-ES"/>
        </w:rPr>
        <w:t xml:space="preserve"> 25 de la </w:t>
      </w:r>
      <w:r w:rsidRPr="0037358E">
        <w:rPr>
          <w:rFonts w:ascii="Palatino Linotype" w:hAnsi="Palatino Linotype" w:cs="Arial"/>
          <w:i/>
          <w:color w:val="000000" w:themeColor="text1"/>
          <w:sz w:val="24"/>
          <w:szCs w:val="24"/>
          <w:lang w:val="es-ES"/>
        </w:rPr>
        <w:t>Convención</w:t>
      </w:r>
      <w:r w:rsidR="00627CAE" w:rsidRPr="0037358E">
        <w:rPr>
          <w:rFonts w:ascii="Palatino Linotype" w:hAnsi="Palatino Linotype" w:cs="Arial"/>
          <w:i/>
          <w:color w:val="000000" w:themeColor="text1"/>
          <w:sz w:val="24"/>
          <w:szCs w:val="24"/>
          <w:lang w:val="es-ES"/>
        </w:rPr>
        <w:t xml:space="preserve"> es la posibilidad real de acceder a un recurso judicial para que la autoridad competente y capaz de emitir una </w:t>
      </w:r>
      <w:r w:rsidRPr="0037358E">
        <w:rPr>
          <w:rFonts w:ascii="Palatino Linotype" w:hAnsi="Palatino Linotype" w:cs="Arial"/>
          <w:i/>
          <w:color w:val="000000" w:themeColor="text1"/>
          <w:sz w:val="24"/>
          <w:szCs w:val="24"/>
          <w:lang w:val="es-ES"/>
        </w:rPr>
        <w:t>decisión</w:t>
      </w:r>
      <w:r w:rsidR="00627CAE" w:rsidRPr="0037358E">
        <w:rPr>
          <w:rFonts w:ascii="Palatino Linotype" w:hAnsi="Palatino Linotype" w:cs="Arial"/>
          <w:i/>
          <w:color w:val="000000" w:themeColor="text1"/>
          <w:sz w:val="24"/>
          <w:szCs w:val="24"/>
          <w:lang w:val="es-ES"/>
        </w:rPr>
        <w:t xml:space="preserve"> vinculante determine si ha habido o no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a </w:t>
      </w:r>
      <w:r w:rsidRPr="0037358E">
        <w:rPr>
          <w:rFonts w:ascii="Palatino Linotype" w:hAnsi="Palatino Linotype" w:cs="Arial"/>
          <w:i/>
          <w:color w:val="000000" w:themeColor="text1"/>
          <w:sz w:val="24"/>
          <w:szCs w:val="24"/>
          <w:lang w:val="es-ES"/>
        </w:rPr>
        <w:t>algún</w:t>
      </w:r>
      <w:r w:rsidR="00627CAE" w:rsidRPr="0037358E">
        <w:rPr>
          <w:rFonts w:ascii="Palatino Linotype" w:hAnsi="Palatino Linotype" w:cs="Arial"/>
          <w:i/>
          <w:color w:val="000000" w:themeColor="text1"/>
          <w:sz w:val="24"/>
          <w:szCs w:val="24"/>
          <w:lang w:val="es-ES"/>
        </w:rPr>
        <w:t xml:space="preserve"> derecho que la persona que reclama estima tener y que, en caso de ser encontrada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el recurso sea </w:t>
      </w:r>
      <w:r w:rsidRPr="0037358E">
        <w:rPr>
          <w:rFonts w:ascii="Palatino Linotype" w:hAnsi="Palatino Linotype" w:cs="Arial"/>
          <w:i/>
          <w:color w:val="000000" w:themeColor="text1"/>
          <w:sz w:val="24"/>
          <w:szCs w:val="24"/>
          <w:lang w:val="es-ES"/>
        </w:rPr>
        <w:t>útil</w:t>
      </w:r>
      <w:r w:rsidR="00627CAE" w:rsidRPr="0037358E">
        <w:rPr>
          <w:rFonts w:ascii="Palatino Linotype" w:hAnsi="Palatino Linotype" w:cs="Arial"/>
          <w:i/>
          <w:color w:val="000000" w:themeColor="text1"/>
          <w:sz w:val="24"/>
          <w:szCs w:val="24"/>
          <w:lang w:val="es-ES"/>
        </w:rPr>
        <w:t xml:space="preserve"> para restituir al interesado en el goce de su derecho y repararlo. </w:t>
      </w:r>
      <w:r w:rsidRPr="0037358E">
        <w:rPr>
          <w:rFonts w:ascii="Palatino Linotype" w:hAnsi="Palatino Linotype" w:cs="Arial"/>
          <w:i/>
          <w:color w:val="000000" w:themeColor="text1"/>
          <w:sz w:val="24"/>
          <w:szCs w:val="24"/>
          <w:lang w:val="es-ES"/>
        </w:rPr>
        <w:t>Seria</w:t>
      </w:r>
      <w:r w:rsidR="00627CAE" w:rsidRPr="0037358E">
        <w:rPr>
          <w:rFonts w:ascii="Palatino Linotype" w:hAnsi="Palatino Linotype" w:cs="Arial"/>
          <w:i/>
          <w:color w:val="000000" w:themeColor="text1"/>
          <w:sz w:val="24"/>
          <w:szCs w:val="24"/>
          <w:lang w:val="es-ES"/>
        </w:rPr>
        <w:t xml:space="preserve"> irrazonable establecer dicha </w:t>
      </w:r>
      <w:r w:rsidRPr="0037358E">
        <w:rPr>
          <w:rFonts w:ascii="Palatino Linotype" w:hAnsi="Palatino Linotype" w:cs="Arial"/>
          <w:i/>
          <w:color w:val="000000" w:themeColor="text1"/>
          <w:sz w:val="24"/>
          <w:szCs w:val="24"/>
          <w:lang w:val="es-ES"/>
        </w:rPr>
        <w:t>garantía</w:t>
      </w:r>
      <w:r w:rsidR="00627CAE" w:rsidRPr="0037358E">
        <w:rPr>
          <w:rFonts w:ascii="Palatino Linotype" w:hAnsi="Palatino Linotype" w:cs="Arial"/>
          <w:i/>
          <w:color w:val="000000" w:themeColor="text1"/>
          <w:sz w:val="24"/>
          <w:szCs w:val="24"/>
          <w:lang w:val="es-ES"/>
        </w:rPr>
        <w:t xml:space="preserve"> judicial si se exigiera a los justiciables saber de antemano si su </w:t>
      </w:r>
      <w:r w:rsidRPr="0037358E">
        <w:rPr>
          <w:rFonts w:ascii="Palatino Linotype" w:hAnsi="Palatino Linotype" w:cs="Arial"/>
          <w:i/>
          <w:color w:val="000000" w:themeColor="text1"/>
          <w:sz w:val="24"/>
          <w:szCs w:val="24"/>
          <w:lang w:val="es-ES"/>
        </w:rPr>
        <w:t>situación</w:t>
      </w:r>
      <w:r w:rsidR="00627CAE" w:rsidRPr="0037358E">
        <w:rPr>
          <w:rFonts w:ascii="Palatino Linotype" w:hAnsi="Palatino Linotype" w:cs="Arial"/>
          <w:i/>
          <w:color w:val="000000" w:themeColor="text1"/>
          <w:sz w:val="24"/>
          <w:szCs w:val="24"/>
          <w:lang w:val="es-ES"/>
        </w:rPr>
        <w:t xml:space="preserve"> </w:t>
      </w:r>
      <w:r w:rsidRPr="0037358E">
        <w:rPr>
          <w:rFonts w:ascii="Palatino Linotype" w:hAnsi="Palatino Linotype" w:cs="Arial"/>
          <w:i/>
          <w:color w:val="000000" w:themeColor="text1"/>
          <w:sz w:val="24"/>
          <w:szCs w:val="24"/>
          <w:lang w:val="es-ES"/>
        </w:rPr>
        <w:t>será</w:t>
      </w:r>
      <w:r w:rsidR="00627CAE" w:rsidRPr="0037358E">
        <w:rPr>
          <w:rFonts w:ascii="Palatino Linotype" w:hAnsi="Palatino Linotype" w:cs="Arial"/>
          <w:i/>
          <w:color w:val="000000" w:themeColor="text1"/>
          <w:sz w:val="24"/>
          <w:szCs w:val="24"/>
          <w:lang w:val="es-ES"/>
        </w:rPr>
        <w:t xml:space="preserve">́ estimada por el </w:t>
      </w:r>
      <w:r w:rsidRPr="0037358E">
        <w:rPr>
          <w:rFonts w:ascii="Palatino Linotype" w:hAnsi="Palatino Linotype" w:cs="Arial"/>
          <w:i/>
          <w:color w:val="000000" w:themeColor="text1"/>
          <w:sz w:val="24"/>
          <w:szCs w:val="24"/>
          <w:lang w:val="es-ES"/>
        </w:rPr>
        <w:t>órgano</w:t>
      </w:r>
      <w:r w:rsidR="00627CAE" w:rsidRPr="0037358E">
        <w:rPr>
          <w:rFonts w:ascii="Palatino Linotype" w:hAnsi="Palatino Linotype" w:cs="Arial"/>
          <w:i/>
          <w:color w:val="000000" w:themeColor="text1"/>
          <w:sz w:val="24"/>
          <w:szCs w:val="24"/>
          <w:lang w:val="es-ES"/>
        </w:rPr>
        <w:t xml:space="preserve"> judicial como amparada por un derecho </w:t>
      </w:r>
      <w:r w:rsidRPr="0037358E">
        <w:rPr>
          <w:rFonts w:ascii="Palatino Linotype" w:hAnsi="Palatino Linotype" w:cs="Arial"/>
          <w:i/>
          <w:color w:val="000000" w:themeColor="text1"/>
          <w:sz w:val="24"/>
          <w:szCs w:val="24"/>
          <w:lang w:val="es-ES"/>
        </w:rPr>
        <w:t>especifico</w:t>
      </w:r>
      <w:r w:rsidR="00627CAE" w:rsidRPr="0037358E">
        <w:rPr>
          <w:rFonts w:ascii="Palatino Linotype" w:hAnsi="Palatino Linotype" w:cs="Arial"/>
          <w:i/>
          <w:color w:val="000000" w:themeColor="text1"/>
          <w:sz w:val="24"/>
          <w:szCs w:val="24"/>
          <w:lang w:val="es-ES"/>
        </w:rPr>
        <w:t xml:space="preserve">. </w:t>
      </w:r>
    </w:p>
    <w:p w:rsidR="00627CAE" w:rsidRPr="0037358E" w:rsidRDefault="00627CAE" w:rsidP="00351453">
      <w:pPr>
        <w:pStyle w:val="Prrafodelista"/>
        <w:spacing w:before="240" w:after="0" w:line="360" w:lineRule="auto"/>
        <w:ind w:left="567" w:right="616"/>
        <w:jc w:val="both"/>
        <w:rPr>
          <w:rFonts w:ascii="Palatino Linotype" w:hAnsi="Palatino Linotype" w:cs="Arial"/>
          <w:i/>
          <w:color w:val="000000" w:themeColor="text1"/>
          <w:sz w:val="24"/>
          <w:szCs w:val="24"/>
          <w:lang w:val="es-ES"/>
        </w:rPr>
      </w:pPr>
    </w:p>
    <w:p w:rsidR="00407A2F" w:rsidRDefault="00627CAE" w:rsidP="000E1040">
      <w:pPr>
        <w:pStyle w:val="Prrafodelista"/>
        <w:spacing w:before="240" w:after="0" w:line="360" w:lineRule="auto"/>
        <w:ind w:left="567" w:right="616"/>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w:t>
      </w:r>
      <w:r w:rsidR="00A54A3E" w:rsidRPr="0037358E">
        <w:rPr>
          <w:rFonts w:ascii="Palatino Linotype" w:hAnsi="Palatino Linotype" w:cs="Arial"/>
          <w:i/>
          <w:color w:val="000000" w:themeColor="text1"/>
          <w:sz w:val="24"/>
          <w:szCs w:val="24"/>
          <w:lang w:val="es-ES"/>
        </w:rPr>
        <w:t>razón</w:t>
      </w:r>
      <w:r w:rsidRPr="0037358E">
        <w:rPr>
          <w:rFonts w:ascii="Palatino Linotype" w:hAnsi="Palatino Linotype" w:cs="Arial"/>
          <w:i/>
          <w:color w:val="000000" w:themeColor="text1"/>
          <w:sz w:val="24"/>
          <w:szCs w:val="24"/>
          <w:lang w:val="es-ES"/>
        </w:rPr>
        <w:t xml:space="preserve"> de lo anterior, independientemente de si la autoridad judicial declarare infundado el reclamo de la persona que interpone el recurso por no estar cubierto por la norma que invoca o no encontrare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del derecho que se alega vulnerado, el Estado está obligado a proveer recursos efectivos que permitan a las personas impugnar aquellos actos de autoridad que consideren violatorios de sus derechos humanos previstos en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w:t>
      </w:r>
      <w:r w:rsidRPr="0037358E">
        <w:rPr>
          <w:rFonts w:ascii="Palatino Linotype" w:hAnsi="Palatino Linotype" w:cs="Arial"/>
          <w:i/>
          <w:color w:val="000000" w:themeColor="text1"/>
          <w:sz w:val="24"/>
          <w:szCs w:val="24"/>
          <w:lang w:val="es-ES"/>
        </w:rPr>
        <w:lastRenderedPageBreak/>
        <w:t xml:space="preserve">o las leyes. En efecto,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Americana establece el derecho a la </w:t>
      </w:r>
      <w:r w:rsidR="00A54A3E" w:rsidRPr="0037358E">
        <w:rPr>
          <w:rFonts w:ascii="Palatino Linotype" w:hAnsi="Palatino Linotype" w:cs="Arial"/>
          <w:i/>
          <w:color w:val="000000" w:themeColor="text1"/>
          <w:sz w:val="24"/>
          <w:szCs w:val="24"/>
          <w:lang w:val="es-ES"/>
        </w:rPr>
        <w:t>protección</w:t>
      </w:r>
      <w:r w:rsidRPr="0037358E">
        <w:rPr>
          <w:rFonts w:ascii="Palatino Linotype" w:hAnsi="Palatino Linotype" w:cs="Arial"/>
          <w:i/>
          <w:color w:val="000000" w:themeColor="text1"/>
          <w:sz w:val="24"/>
          <w:szCs w:val="24"/>
          <w:lang w:val="es-ES"/>
        </w:rPr>
        <w:t xml:space="preserve"> judicial de los derechos consagrados por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o las leyes, el cual puede ser violado independientemente de que exista o no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al derecho reclamado o de que la </w:t>
      </w:r>
      <w:r w:rsidR="00A54A3E" w:rsidRPr="0037358E">
        <w:rPr>
          <w:rFonts w:ascii="Palatino Linotype" w:hAnsi="Palatino Linotype" w:cs="Arial"/>
          <w:i/>
          <w:color w:val="000000" w:themeColor="text1"/>
          <w:sz w:val="24"/>
          <w:szCs w:val="24"/>
          <w:lang w:val="es-ES"/>
        </w:rPr>
        <w:t>situación</w:t>
      </w:r>
      <w:r w:rsidRPr="0037358E">
        <w:rPr>
          <w:rFonts w:ascii="Palatino Linotype" w:hAnsi="Palatino Linotype" w:cs="Arial"/>
          <w:i/>
          <w:color w:val="000000" w:themeColor="text1"/>
          <w:sz w:val="24"/>
          <w:szCs w:val="24"/>
          <w:lang w:val="es-ES"/>
        </w:rPr>
        <w:t xml:space="preserve"> que le </w:t>
      </w:r>
      <w:r w:rsidR="00A54A3E" w:rsidRPr="0037358E">
        <w:rPr>
          <w:rFonts w:ascii="Palatino Linotype" w:hAnsi="Palatino Linotype" w:cs="Arial"/>
          <w:i/>
          <w:color w:val="000000" w:themeColor="text1"/>
          <w:sz w:val="24"/>
          <w:szCs w:val="24"/>
          <w:lang w:val="es-ES"/>
        </w:rPr>
        <w:t>servía</w:t>
      </w:r>
      <w:r w:rsidRPr="0037358E">
        <w:rPr>
          <w:rFonts w:ascii="Palatino Linotype" w:hAnsi="Palatino Linotype" w:cs="Arial"/>
          <w:i/>
          <w:color w:val="000000" w:themeColor="text1"/>
          <w:sz w:val="24"/>
          <w:szCs w:val="24"/>
          <w:lang w:val="es-ES"/>
        </w:rPr>
        <w:t xml:space="preserve"> de sustento se encontraba dentro del campo de </w:t>
      </w:r>
      <w:r w:rsidR="00A54A3E" w:rsidRPr="0037358E">
        <w:rPr>
          <w:rFonts w:ascii="Palatino Linotype" w:hAnsi="Palatino Linotype" w:cs="Arial"/>
          <w:i/>
          <w:color w:val="000000" w:themeColor="text1"/>
          <w:sz w:val="24"/>
          <w:szCs w:val="24"/>
          <w:lang w:val="es-ES"/>
        </w:rPr>
        <w:t>aplicación</w:t>
      </w:r>
      <w:r w:rsidRPr="0037358E">
        <w:rPr>
          <w:rFonts w:ascii="Palatino Linotype" w:hAnsi="Palatino Linotype" w:cs="Arial"/>
          <w:i/>
          <w:color w:val="000000" w:themeColor="text1"/>
          <w:sz w:val="24"/>
          <w:szCs w:val="24"/>
          <w:lang w:val="es-ES"/>
        </w:rPr>
        <w:t xml:space="preserve"> del derecho invocado. Ello debido a que al igual que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8,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w:t>
      </w:r>
      <w:r w:rsidR="00A54A3E" w:rsidRPr="0037358E">
        <w:rPr>
          <w:rFonts w:ascii="Palatino Linotype" w:hAnsi="Palatino Linotype" w:cs="Arial"/>
          <w:i/>
          <w:color w:val="000000" w:themeColor="text1"/>
          <w:sz w:val="24"/>
          <w:szCs w:val="24"/>
          <w:lang w:val="es-ES"/>
        </w:rPr>
        <w:t>también</w:t>
      </w:r>
      <w:r w:rsidRPr="0037358E">
        <w:rPr>
          <w:rFonts w:ascii="Palatino Linotype" w:hAnsi="Palatino Linotype" w:cs="Arial"/>
          <w:i/>
          <w:color w:val="000000" w:themeColor="text1"/>
          <w:sz w:val="24"/>
          <w:szCs w:val="24"/>
          <w:lang w:val="es-ES"/>
        </w:rPr>
        <w:t xml:space="preserve">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A54A3E" w:rsidRPr="000E1040" w:rsidRDefault="00A54A3E" w:rsidP="000E1040">
      <w:pPr>
        <w:pStyle w:val="Prrafodelista"/>
        <w:spacing w:before="240" w:after="0" w:line="360" w:lineRule="auto"/>
        <w:ind w:left="567" w:right="616"/>
        <w:jc w:val="both"/>
        <w:rPr>
          <w:rFonts w:ascii="Palatino Linotype" w:hAnsi="Palatino Linotype" w:cs="Arial"/>
          <w:i/>
          <w:color w:val="000000" w:themeColor="text1"/>
          <w:sz w:val="24"/>
          <w:szCs w:val="24"/>
          <w:lang w:val="es-ES"/>
        </w:rPr>
      </w:pPr>
    </w:p>
    <w:p w:rsidR="00B67CCF" w:rsidRPr="000E1040"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407A2F">
        <w:rPr>
          <w:rFonts w:ascii="Palatino Linotype" w:hAnsi="Palatino Linotype" w:cs="Arial"/>
          <w:color w:val="000000" w:themeColor="text1"/>
          <w:sz w:val="24"/>
          <w:szCs w:val="24"/>
          <w:lang w:val="es-ES"/>
        </w:rPr>
        <w:t xml:space="preserve">En este sentido  se ha considerado que: </w:t>
      </w:r>
      <w:r w:rsidRPr="00407A2F">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w:t>
      </w:r>
      <w:r w:rsidR="00A54A3E">
        <w:rPr>
          <w:rFonts w:ascii="Palatino Linotype" w:hAnsi="Palatino Linotype" w:cs="Arial"/>
          <w:i/>
          <w:color w:val="000000" w:themeColor="text1"/>
          <w:sz w:val="24"/>
          <w:szCs w:val="24"/>
          <w:lang w:val="es-ES"/>
        </w:rPr>
        <w:t>a persona tiene derecho a que s</w:t>
      </w:r>
      <w:r w:rsidRPr="00407A2F">
        <w:rPr>
          <w:rFonts w:ascii="Palatino Linotype" w:hAnsi="Palatino Linotype" w:cs="Arial"/>
          <w:i/>
          <w:color w:val="000000" w:themeColor="text1"/>
          <w:sz w:val="24"/>
          <w:szCs w:val="24"/>
          <w:lang w:val="es-ES"/>
        </w:rPr>
        <w:t>e</w:t>
      </w:r>
      <w:r w:rsidR="00A54A3E">
        <w:rPr>
          <w:rFonts w:ascii="Palatino Linotype" w:hAnsi="Palatino Linotype" w:cs="Arial"/>
          <w:i/>
          <w:color w:val="000000" w:themeColor="text1"/>
          <w:sz w:val="24"/>
          <w:szCs w:val="24"/>
          <w:lang w:val="es-ES"/>
        </w:rPr>
        <w:t xml:space="preserve"> </w:t>
      </w:r>
      <w:r w:rsidRPr="00407A2F">
        <w:rPr>
          <w:rFonts w:ascii="Palatino Linotype" w:hAnsi="Palatino Linotype" w:cs="Arial"/>
          <w:i/>
          <w:color w:val="000000" w:themeColor="text1"/>
          <w:sz w:val="24"/>
          <w:szCs w:val="24"/>
          <w:lang w:val="es-ES"/>
        </w:rPr>
        <w:t xml:space="preserv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w:t>
      </w:r>
      <w:r w:rsidRPr="00407A2F">
        <w:rPr>
          <w:rFonts w:ascii="Palatino Linotype" w:hAnsi="Palatino Linotype" w:cs="Arial"/>
          <w:i/>
          <w:color w:val="000000" w:themeColor="text1"/>
          <w:sz w:val="24"/>
          <w:szCs w:val="24"/>
          <w:lang w:val="es-ES"/>
        </w:rPr>
        <w:lastRenderedPageBreak/>
        <w:t>definitividad e inatacabilidad de las resoluciones del IFAI cuando los sujetos obligados, son personas físicas o morales.</w:t>
      </w:r>
      <w:r w:rsidRPr="00407A2F">
        <w:rPr>
          <w:rFonts w:ascii="Palatino Linotype" w:hAnsi="Palatino Linotype" w:cs="Arial"/>
          <w:color w:val="000000" w:themeColor="text1"/>
          <w:sz w:val="24"/>
          <w:szCs w:val="24"/>
          <w:lang w:val="es-ES"/>
        </w:rPr>
        <w:t>”</w:t>
      </w:r>
      <w:r w:rsidRPr="00407A2F">
        <w:rPr>
          <w:rStyle w:val="Refdenotaalpie"/>
          <w:rFonts w:ascii="Palatino Linotype" w:hAnsi="Palatino Linotype" w:cs="Arial"/>
          <w:color w:val="000000" w:themeColor="text1"/>
          <w:sz w:val="24"/>
          <w:szCs w:val="24"/>
          <w:lang w:val="es-ES"/>
        </w:rPr>
        <w:footnoteReference w:id="5"/>
      </w:r>
    </w:p>
    <w:p w:rsidR="00B67CCF" w:rsidRPr="00C65F6A" w:rsidRDefault="00627CAE" w:rsidP="00C65F6A">
      <w:pPr>
        <w:pStyle w:val="Ttulo1"/>
        <w:numPr>
          <w:ilvl w:val="0"/>
          <w:numId w:val="16"/>
        </w:numPr>
        <w:ind w:left="0" w:firstLine="0"/>
        <w:rPr>
          <w:rFonts w:ascii="Palatino Linotype" w:hAnsi="Palatino Linotype"/>
          <w:b/>
          <w:color w:val="auto"/>
          <w:sz w:val="24"/>
          <w:lang w:val="es-ES"/>
        </w:rPr>
      </w:pPr>
      <w:bookmarkStart w:id="4" w:name="_Toc1734637"/>
      <w:r w:rsidRPr="00DC11A3">
        <w:rPr>
          <w:rFonts w:ascii="Palatino Linotype" w:hAnsi="Palatino Linotype"/>
          <w:b/>
          <w:color w:val="auto"/>
          <w:sz w:val="24"/>
          <w:lang w:val="es-ES"/>
        </w:rPr>
        <w:t>Problema y propuesta.</w:t>
      </w:r>
      <w:bookmarkEnd w:id="4"/>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w:t>
      </w:r>
      <w:r w:rsidR="00753B0B">
        <w:rPr>
          <w:rFonts w:ascii="Palatino Linotype" w:hAnsi="Palatino Linotype" w:cs="Arial"/>
          <w:color w:val="000000" w:themeColor="text1"/>
          <w:sz w:val="24"/>
          <w:szCs w:val="24"/>
          <w:lang w:val="es-ES"/>
        </w:rPr>
        <w:t>cional de acceso a la justicia.</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Por lo que al restringirse –en nuestra propia resolución–, el derecho de acceso a la justicia del</w:t>
      </w:r>
      <w:r w:rsidR="00407A2F" w:rsidRPr="00753B0B">
        <w:rPr>
          <w:rFonts w:ascii="Palatino Linotype" w:hAnsi="Palatino Linotype" w:cs="Arial"/>
          <w:color w:val="000000" w:themeColor="text1"/>
          <w:sz w:val="24"/>
          <w:szCs w:val="24"/>
          <w:lang w:val="es-ES"/>
        </w:rPr>
        <w:t xml:space="preserve"> </w:t>
      </w:r>
      <w:r w:rsidR="00A54A3E">
        <w:rPr>
          <w:rFonts w:ascii="Palatino Linotype" w:hAnsi="Palatino Linotype" w:cs="Arial"/>
          <w:b/>
          <w:sz w:val="24"/>
          <w:szCs w:val="24"/>
        </w:rPr>
        <w:t>Sindicato Único de Trabajadores de los Poderes, Municipios e Instituciones Descentralizadas del Estado de México</w:t>
      </w:r>
      <w:r w:rsidRPr="00753B0B">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w:t>
      </w:r>
      <w:r w:rsidR="00A54A3E">
        <w:rPr>
          <w:rFonts w:ascii="Palatino Linotype" w:hAnsi="Palatino Linotype" w:cs="Arial"/>
          <w:color w:val="000000" w:themeColor="text1"/>
          <w:sz w:val="24"/>
          <w:szCs w:val="24"/>
          <w:lang w:val="es-ES"/>
        </w:rPr>
        <w:lastRenderedPageBreak/>
        <w:t xml:space="preserve">resoluciones </w:t>
      </w:r>
      <w:r w:rsidRPr="00753B0B">
        <w:rPr>
          <w:rFonts w:ascii="Palatino Linotype" w:hAnsi="Palatino Linotype" w:cs="Arial"/>
          <w:color w:val="000000" w:themeColor="text1"/>
          <w:sz w:val="24"/>
          <w:szCs w:val="24"/>
          <w:lang w:val="es-ES"/>
        </w:rPr>
        <w:t>con el principio constitucional más importante en materia de derechos humanos.</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w:t>
      </w:r>
      <w:r w:rsidRPr="00753B0B">
        <w:rPr>
          <w:rFonts w:ascii="Palatino Linotype" w:hAnsi="Palatino Linotype" w:cs="Arial"/>
          <w:color w:val="000000" w:themeColor="text1"/>
          <w:sz w:val="24"/>
          <w:szCs w:val="24"/>
          <w:lang w:val="es-ES"/>
        </w:rPr>
        <w:lastRenderedPageBreak/>
        <w:t>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A54A3E" w:rsidRDefault="00A54A3E" w:rsidP="00A54A3E">
      <w:pPr>
        <w:pStyle w:val="Prrafodelista"/>
        <w:spacing w:before="240" w:after="0" w:line="360" w:lineRule="auto"/>
        <w:ind w:left="0"/>
        <w:jc w:val="both"/>
        <w:rPr>
          <w:rFonts w:ascii="Palatino Linotype" w:hAnsi="Palatino Linotype" w:cs="Arial"/>
          <w:color w:val="000000" w:themeColor="text1"/>
          <w:sz w:val="24"/>
          <w:szCs w:val="24"/>
          <w:lang w:val="es-ES"/>
        </w:rPr>
      </w:pPr>
    </w:p>
    <w:p w:rsidR="00C3567A" w:rsidRPr="00753B0B" w:rsidRDefault="00C3567A"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753B0B">
        <w:rPr>
          <w:rFonts w:ascii="Palatino Linotype" w:hAnsi="Palatino Linotype" w:cs="Arial"/>
          <w:sz w:val="24"/>
          <w:szCs w:val="24"/>
        </w:rPr>
        <w:t>establece lo siguiente</w:t>
      </w:r>
      <w:r w:rsidRPr="00753B0B">
        <w:rPr>
          <w:rFonts w:ascii="Palatino Linotype" w:hAnsi="Palatino Linotype" w:cs="Arial"/>
          <w:b/>
          <w:sz w:val="24"/>
          <w:szCs w:val="24"/>
        </w:rPr>
        <w:t>:</w:t>
      </w:r>
    </w:p>
    <w:p w:rsidR="006A7929" w:rsidRPr="004E54FE" w:rsidRDefault="006A7929" w:rsidP="00351453">
      <w:pPr>
        <w:pStyle w:val="Prrafodelista"/>
        <w:ind w:left="0"/>
        <w:rPr>
          <w:rFonts w:ascii="Palatino Linotype" w:hAnsi="Palatino Linotype" w:cs="Arial"/>
          <w:b/>
          <w:sz w:val="24"/>
          <w:szCs w:val="24"/>
        </w:rPr>
      </w:pPr>
    </w:p>
    <w:p w:rsidR="00C3567A" w:rsidRPr="004E54FE" w:rsidRDefault="00A54A3E" w:rsidP="00A54A3E">
      <w:pPr>
        <w:pStyle w:val="Prrafodelista"/>
        <w:spacing w:after="0" w:line="360" w:lineRule="auto"/>
        <w:ind w:left="567" w:right="618"/>
        <w:jc w:val="both"/>
        <w:rPr>
          <w:rFonts w:ascii="Palatino Linotype" w:eastAsia="Times New Roman" w:hAnsi="Palatino Linotype" w:cs="Times New Roman"/>
          <w:i/>
          <w:sz w:val="32"/>
          <w:szCs w:val="24"/>
          <w:lang w:eastAsia="es-MX"/>
        </w:rPr>
      </w:pPr>
      <w:r>
        <w:rPr>
          <w:rFonts w:ascii="Palatino Linotype" w:eastAsia="Times New Roman" w:hAnsi="Palatino Linotype" w:cs="Arial"/>
          <w:i/>
          <w:color w:val="222222"/>
          <w:szCs w:val="19"/>
          <w:shd w:val="clear" w:color="auto" w:fill="FFFFFF"/>
          <w:lang w:eastAsia="es-MX"/>
        </w:rPr>
        <w:t>“</w:t>
      </w:r>
      <w:r w:rsidR="00C3567A" w:rsidRPr="00A54A3E">
        <w:rPr>
          <w:rFonts w:ascii="Palatino Linotype" w:eastAsia="Times New Roman" w:hAnsi="Palatino Linotype" w:cs="Arial"/>
          <w:b/>
          <w:i/>
          <w:color w:val="222222"/>
          <w:szCs w:val="19"/>
          <w:shd w:val="clear" w:color="auto" w:fill="FFFFFF"/>
          <w:lang w:eastAsia="es-MX"/>
        </w:rPr>
        <w:t>Artículo 56.-</w:t>
      </w:r>
      <w:r w:rsidR="00C3567A" w:rsidRPr="004E54FE">
        <w:rPr>
          <w:rFonts w:ascii="Palatino Linotype" w:eastAsia="Times New Roman" w:hAnsi="Palatino Linotype" w:cs="Arial"/>
          <w:i/>
          <w:color w:val="222222"/>
          <w:szCs w:val="19"/>
          <w:shd w:val="clear" w:color="auto" w:fill="FFFFFF"/>
          <w:lang w:eastAsia="es-MX"/>
        </w:rPr>
        <w:t xml:space="preserve"> Contra las resoluciones del Instituto, los particulares podrán promover el juicio de nulidad ante el Tribunal Federal de Justicia Fiscal y Administrativa. </w:t>
      </w: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Artículo 57.-</w:t>
      </w:r>
      <w:r w:rsidRPr="004E54FE">
        <w:rPr>
          <w:rFonts w:ascii="Palatino Linotype" w:eastAsia="Times New Roman" w:hAnsi="Palatino Linotype" w:cs="Arial"/>
          <w:i/>
          <w:color w:val="222222"/>
          <w:szCs w:val="19"/>
          <w:lang w:eastAsia="es-MX"/>
        </w:rPr>
        <w:t xml:space="preserve"> Todas las resoluciones del Instituto serán susceptibles de difundirse públicamente en versiones públicas, eliminando aquellas referencias al titular de los datos que lo identifiquen o lo hagan identificable. </w:t>
      </w: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 xml:space="preserve">Artículo 58.- </w:t>
      </w:r>
      <w:r w:rsidRPr="004E54FE">
        <w:rPr>
          <w:rFonts w:ascii="Palatino Linotype" w:eastAsia="Times New Roman" w:hAnsi="Palatino Linotype" w:cs="Arial"/>
          <w:i/>
          <w:color w:val="222222"/>
          <w:szCs w:val="19"/>
          <w:lang w:eastAsia="es-MX"/>
        </w:rPr>
        <w:t xml:space="preserve">Los titulares que consideren que han sufrido un daño o lesión en sus bienes o derechos como consecuencia del incumplimiento a lo dispuesto en la presente Ley por el responsable o el encargado, podrán ejercer los derechos que estimen </w:t>
      </w:r>
      <w:r w:rsidRPr="004E54FE">
        <w:rPr>
          <w:rFonts w:ascii="Palatino Linotype" w:eastAsia="Times New Roman" w:hAnsi="Palatino Linotype" w:cs="Arial"/>
          <w:i/>
          <w:color w:val="222222"/>
          <w:szCs w:val="19"/>
          <w:lang w:eastAsia="es-MX"/>
        </w:rPr>
        <w:lastRenderedPageBreak/>
        <w:t>pertinentes para efectos de la indemnización que proceda, en términos de las disposiciones legales correspondientes.</w:t>
      </w:r>
      <w:r w:rsidR="00A54A3E">
        <w:rPr>
          <w:rFonts w:ascii="Palatino Linotype" w:eastAsia="Times New Roman" w:hAnsi="Palatino Linotype" w:cs="Arial"/>
          <w:i/>
          <w:color w:val="222222"/>
          <w:szCs w:val="19"/>
          <w:lang w:eastAsia="es-MX"/>
        </w:rPr>
        <w:t>”</w:t>
      </w:r>
    </w:p>
    <w:p w:rsidR="00C3567A" w:rsidRPr="004E54FE" w:rsidRDefault="00C3567A" w:rsidP="00351453">
      <w:pPr>
        <w:rPr>
          <w:rFonts w:ascii="Palatino Linotype" w:hAnsi="Palatino Linotype" w:cs="Arial"/>
          <w:b/>
          <w:sz w:val="24"/>
          <w:szCs w:val="24"/>
        </w:rPr>
      </w:pPr>
    </w:p>
    <w:p w:rsidR="00A54A3E" w:rsidRPr="00A54A3E" w:rsidRDefault="00C3567A" w:rsidP="00A54A3E">
      <w:pPr>
        <w:pStyle w:val="Prrafodelista"/>
        <w:numPr>
          <w:ilvl w:val="0"/>
          <w:numId w:val="1"/>
        </w:numPr>
        <w:spacing w:before="240" w:after="0" w:line="360" w:lineRule="auto"/>
        <w:ind w:left="0" w:firstLine="0"/>
        <w:jc w:val="both"/>
        <w:rPr>
          <w:rFonts w:ascii="Palatino Linotype" w:hAnsi="Palatino Linotype" w:cs="Arial"/>
          <w:sz w:val="24"/>
          <w:szCs w:val="24"/>
        </w:rPr>
      </w:pPr>
      <w:r w:rsidRPr="004E54FE">
        <w:rPr>
          <w:rFonts w:ascii="Palatino Linotype" w:hAnsi="Palatino Linotype" w:cs="Arial"/>
          <w:sz w:val="24"/>
          <w:szCs w:val="24"/>
        </w:rPr>
        <w:t xml:space="preserve">En ese sentido, se entiende que al igual que las personas físicas, </w:t>
      </w:r>
      <w:r w:rsidR="00FE31E6" w:rsidRPr="004E54FE">
        <w:rPr>
          <w:rFonts w:ascii="Palatino Linotype" w:hAnsi="Palatino Linotype" w:cs="Arial"/>
          <w:sz w:val="24"/>
          <w:szCs w:val="24"/>
        </w:rPr>
        <w:t>las personas morales, tienen el derecho</w:t>
      </w:r>
      <w:r w:rsidRPr="004E54FE">
        <w:rPr>
          <w:rFonts w:ascii="Palatino Linotype" w:hAnsi="Palatino Linotype" w:cs="Arial"/>
          <w:sz w:val="24"/>
          <w:szCs w:val="24"/>
        </w:rPr>
        <w:t xml:space="preserve"> de interponer medios de impugnación cuando l</w:t>
      </w:r>
      <w:r w:rsidR="00B55534" w:rsidRPr="004E54FE">
        <w:rPr>
          <w:rFonts w:ascii="Palatino Linotype" w:hAnsi="Palatino Linotype" w:cs="Arial"/>
          <w:sz w:val="24"/>
          <w:szCs w:val="24"/>
        </w:rPr>
        <w:t>as resoluciones les causen</w:t>
      </w:r>
      <w:r w:rsidRPr="004E54FE">
        <w:rPr>
          <w:rFonts w:ascii="Palatino Linotype" w:hAnsi="Palatino Linotype" w:cs="Arial"/>
          <w:sz w:val="24"/>
          <w:szCs w:val="24"/>
        </w:rPr>
        <w:t xml:space="preserve"> perjuicio</w:t>
      </w:r>
      <w:r w:rsidR="00B55534" w:rsidRPr="004E54FE">
        <w:rPr>
          <w:rFonts w:ascii="Palatino Linotype" w:hAnsi="Palatino Linotype" w:cs="Arial"/>
          <w:sz w:val="24"/>
          <w:szCs w:val="24"/>
        </w:rPr>
        <w:t xml:space="preserve"> alguno</w:t>
      </w:r>
      <w:r w:rsidRPr="004E54FE">
        <w:rPr>
          <w:rFonts w:ascii="Palatino Linotype" w:hAnsi="Palatino Linotype" w:cs="Arial"/>
          <w:sz w:val="24"/>
          <w:szCs w:val="24"/>
        </w:rPr>
        <w:t xml:space="preserve">, de lo contrario, dichas personas se encontrarían en un estado de vulnerabilidad, impidiéndoles </w:t>
      </w:r>
      <w:r w:rsidR="00FE31E6" w:rsidRPr="004E54FE">
        <w:rPr>
          <w:rFonts w:ascii="Palatino Linotype" w:hAnsi="Palatino Linotype" w:cs="Arial"/>
          <w:sz w:val="24"/>
          <w:szCs w:val="24"/>
        </w:rPr>
        <w:t xml:space="preserve">que </w:t>
      </w:r>
      <w:r w:rsidRPr="004E54FE">
        <w:rPr>
          <w:rFonts w:ascii="Palatino Linotype" w:hAnsi="Palatino Linotype" w:cs="Arial"/>
          <w:sz w:val="24"/>
          <w:szCs w:val="24"/>
        </w:rPr>
        <w:t>cuando con</w:t>
      </w:r>
      <w:r w:rsidR="00FE31E6" w:rsidRPr="004E54FE">
        <w:rPr>
          <w:rFonts w:ascii="Palatino Linotype" w:hAnsi="Palatino Linotype" w:cs="Arial"/>
          <w:sz w:val="24"/>
          <w:szCs w:val="24"/>
        </w:rPr>
        <w:t>sideren que las resoluciones</w:t>
      </w:r>
      <w:r w:rsidRPr="004E54FE">
        <w:rPr>
          <w:rFonts w:ascii="Palatino Linotype" w:hAnsi="Palatino Linotype" w:cs="Arial"/>
          <w:sz w:val="24"/>
          <w:szCs w:val="24"/>
        </w:rPr>
        <w:t xml:space="preserve"> violan sus derechos, estos puedan interponer medio</w:t>
      </w:r>
      <w:r w:rsidR="00FE31E6" w:rsidRPr="004E54FE">
        <w:rPr>
          <w:rFonts w:ascii="Palatino Linotype" w:hAnsi="Palatino Linotype" w:cs="Arial"/>
          <w:sz w:val="24"/>
          <w:szCs w:val="24"/>
        </w:rPr>
        <w:t>s</w:t>
      </w:r>
      <w:r w:rsidRPr="004E54FE">
        <w:rPr>
          <w:rFonts w:ascii="Palatino Linotype" w:hAnsi="Palatino Linotype" w:cs="Arial"/>
          <w:sz w:val="24"/>
          <w:szCs w:val="24"/>
        </w:rPr>
        <w:t xml:space="preserve"> de defensa correspondiente</w:t>
      </w:r>
      <w:r w:rsidR="00FE31E6" w:rsidRPr="004E54FE">
        <w:rPr>
          <w:rFonts w:ascii="Palatino Linotype" w:hAnsi="Palatino Linotype" w:cs="Arial"/>
          <w:sz w:val="24"/>
          <w:szCs w:val="24"/>
        </w:rPr>
        <w:t>s</w:t>
      </w:r>
      <w:r w:rsidRPr="004E54FE">
        <w:rPr>
          <w:rFonts w:ascii="Palatino Linotype" w:hAnsi="Palatino Linotype" w:cs="Arial"/>
          <w:sz w:val="24"/>
          <w:szCs w:val="24"/>
        </w:rPr>
        <w:t>.</w:t>
      </w:r>
    </w:p>
    <w:p w:rsidR="00B67CCF" w:rsidRPr="00C65F6A" w:rsidRDefault="00627CAE" w:rsidP="00C65F6A">
      <w:pPr>
        <w:pStyle w:val="Ttulo1"/>
        <w:numPr>
          <w:ilvl w:val="0"/>
          <w:numId w:val="16"/>
        </w:numPr>
        <w:ind w:left="0" w:firstLine="0"/>
        <w:rPr>
          <w:rFonts w:ascii="Palatino Linotype" w:hAnsi="Palatino Linotype"/>
          <w:b/>
          <w:color w:val="auto"/>
          <w:sz w:val="24"/>
          <w:lang w:val="es-ES"/>
        </w:rPr>
      </w:pPr>
      <w:bookmarkStart w:id="5" w:name="_Toc1734638"/>
      <w:r w:rsidRPr="004E54FE">
        <w:rPr>
          <w:rFonts w:ascii="Palatino Linotype" w:hAnsi="Palatino Linotype"/>
          <w:b/>
          <w:color w:val="auto"/>
          <w:sz w:val="24"/>
          <w:lang w:val="es-ES"/>
        </w:rPr>
        <w:t>Conclusión.</w:t>
      </w:r>
      <w:bookmarkEnd w:id="5"/>
    </w:p>
    <w:p w:rsidR="00F93F7E" w:rsidRDefault="00627CAE" w:rsidP="00F93F7E">
      <w:pPr>
        <w:pStyle w:val="Prrafodelista"/>
        <w:numPr>
          <w:ilvl w:val="0"/>
          <w:numId w:val="1"/>
        </w:numPr>
        <w:spacing w:before="240" w:after="0" w:line="360" w:lineRule="auto"/>
        <w:ind w:left="0" w:firstLine="0"/>
        <w:jc w:val="both"/>
        <w:rPr>
          <w:rFonts w:ascii="Palatino Linotype" w:hAnsi="Palatino Linotype" w:cs="Arial"/>
          <w:sz w:val="24"/>
          <w:szCs w:val="24"/>
        </w:rPr>
      </w:pPr>
      <w:r w:rsidRPr="004E54FE">
        <w:rPr>
          <w:rFonts w:ascii="Palatino Linotype" w:hAnsi="Palatino Linotype" w:cs="Arial"/>
          <w:color w:val="000000" w:themeColor="text1"/>
          <w:sz w:val="24"/>
          <w:szCs w:val="24"/>
          <w:lang w:val="es-ES"/>
        </w:rPr>
        <w:t>En virtud de lo anterior</w:t>
      </w:r>
      <w:r w:rsidR="00B67CCF" w:rsidRPr="004E54FE">
        <w:rPr>
          <w:rFonts w:ascii="Palatino Linotype" w:hAnsi="Palatino Linotype" w:cs="Arial"/>
          <w:color w:val="000000" w:themeColor="text1"/>
          <w:sz w:val="24"/>
          <w:szCs w:val="24"/>
          <w:lang w:val="es-ES"/>
        </w:rPr>
        <w:t>,</w:t>
      </w:r>
      <w:r w:rsidRPr="004E54FE">
        <w:rPr>
          <w:rFonts w:ascii="Palatino Linotype" w:hAnsi="Palatino Linotype" w:cs="Arial"/>
          <w:color w:val="000000" w:themeColor="text1"/>
          <w:sz w:val="24"/>
          <w:szCs w:val="24"/>
          <w:lang w:val="es-ES"/>
        </w:rPr>
        <w:t xml:space="preserve"> es que no puedo compartir los términos aprobados del resolutivo </w:t>
      </w:r>
      <w:r w:rsidR="009627CA">
        <w:rPr>
          <w:rFonts w:ascii="Palatino Linotype" w:hAnsi="Palatino Linotype" w:cs="Arial"/>
          <w:color w:val="000000" w:themeColor="text1"/>
          <w:sz w:val="24"/>
          <w:szCs w:val="24"/>
          <w:lang w:val="es-ES"/>
        </w:rPr>
        <w:t xml:space="preserve">Cuarto </w:t>
      </w:r>
      <w:r w:rsidRPr="004E54FE">
        <w:rPr>
          <w:rFonts w:ascii="Palatino Linotype" w:hAnsi="Palatino Linotype" w:cs="Arial"/>
          <w:color w:val="000000" w:themeColor="text1"/>
          <w:sz w:val="24"/>
          <w:szCs w:val="24"/>
          <w:lang w:val="es-ES"/>
        </w:rPr>
        <w:t>ya que, desde mi punto de vista, el Sindicato también tiene derecho de acudir al juicio de</w:t>
      </w:r>
      <w:r w:rsidR="003416F2" w:rsidRPr="004E54FE">
        <w:rPr>
          <w:rFonts w:ascii="Palatino Linotype" w:hAnsi="Palatino Linotype" w:cs="Arial"/>
          <w:color w:val="000000" w:themeColor="text1"/>
          <w:sz w:val="24"/>
          <w:szCs w:val="24"/>
          <w:lang w:val="es-ES"/>
        </w:rPr>
        <w:t xml:space="preserve"> amparo si considera que la resolución emitida por el Pleno del Instituto </w:t>
      </w:r>
      <w:r w:rsidRPr="004E54FE">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4E54FE">
        <w:rPr>
          <w:rFonts w:ascii="Palatino Linotype" w:hAnsi="Palatino Linotype" w:cs="Arial"/>
          <w:sz w:val="24"/>
          <w:szCs w:val="24"/>
        </w:rPr>
        <w:t xml:space="preserve"> </w:t>
      </w:r>
    </w:p>
    <w:p w:rsidR="00F93F7E" w:rsidRDefault="00F93F7E" w:rsidP="00C65F6A">
      <w:pPr>
        <w:pStyle w:val="Prrafodelista"/>
        <w:spacing w:before="240" w:after="0" w:line="360" w:lineRule="auto"/>
        <w:ind w:left="0"/>
        <w:jc w:val="both"/>
        <w:rPr>
          <w:rFonts w:ascii="Palatino Linotype" w:hAnsi="Palatino Linotype" w:cs="Arial"/>
          <w:sz w:val="24"/>
          <w:szCs w:val="24"/>
        </w:rPr>
      </w:pPr>
    </w:p>
    <w:p w:rsidR="00F93F7E" w:rsidRPr="009627CA" w:rsidRDefault="00F93F7E" w:rsidP="00C65F6A">
      <w:pPr>
        <w:pStyle w:val="Prrafodelista"/>
        <w:spacing w:before="240" w:after="0" w:line="360" w:lineRule="auto"/>
        <w:ind w:left="0"/>
        <w:jc w:val="both"/>
        <w:rPr>
          <w:rFonts w:ascii="Palatino Linotype" w:hAnsi="Palatino Linotype" w:cs="Arial"/>
          <w:sz w:val="24"/>
          <w:szCs w:val="24"/>
        </w:rPr>
      </w:pPr>
    </w:p>
    <w:p w:rsidR="00627CAE" w:rsidRPr="000C1EE1" w:rsidRDefault="00627CAE" w:rsidP="00351453">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351453">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75AFA" w:rsidRPr="00F93F7E" w:rsidRDefault="00B67CCF" w:rsidP="009627CA">
      <w:pPr>
        <w:spacing w:line="360" w:lineRule="auto"/>
        <w:jc w:val="right"/>
        <w:rPr>
          <w:rFonts w:ascii="Palatino Linotype" w:eastAsia="Calibri" w:hAnsi="Palatino Linotype" w:cs="Arial"/>
          <w:sz w:val="20"/>
          <w:szCs w:val="20"/>
        </w:rPr>
      </w:pPr>
      <w:r w:rsidRPr="00F93F7E">
        <w:rPr>
          <w:rFonts w:ascii="Palatino Linotype" w:eastAsia="Calibri" w:hAnsi="Palatino Linotype" w:cs="Arial"/>
          <w:b/>
          <w:sz w:val="20"/>
          <w:szCs w:val="20"/>
        </w:rPr>
        <w:t>JGLH/</w:t>
      </w:r>
      <w:r w:rsidR="009627CA" w:rsidRPr="00F93F7E">
        <w:rPr>
          <w:rFonts w:ascii="Palatino Linotype" w:eastAsia="Calibri" w:hAnsi="Palatino Linotype" w:cs="Arial"/>
          <w:b/>
          <w:sz w:val="20"/>
          <w:szCs w:val="20"/>
        </w:rPr>
        <w:t>MPBR</w:t>
      </w:r>
    </w:p>
    <w:sectPr w:rsidR="00B75AFA" w:rsidRPr="00F93F7E"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7CC" w:rsidRDefault="008A17CC" w:rsidP="00E82D3D">
      <w:pPr>
        <w:spacing w:after="0" w:line="240" w:lineRule="auto"/>
      </w:pPr>
      <w:r>
        <w:separator/>
      </w:r>
    </w:p>
  </w:endnote>
  <w:endnote w:type="continuationSeparator" w:id="0">
    <w:p w:rsidR="008A17CC" w:rsidRDefault="008A17C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1B7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1B7C">
              <w:rPr>
                <w:b/>
                <w:bCs/>
                <w:noProof/>
              </w:rPr>
              <w:t>18</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7CC" w:rsidRDefault="008A17CC" w:rsidP="00E82D3D">
      <w:pPr>
        <w:spacing w:after="0" w:line="240" w:lineRule="auto"/>
      </w:pPr>
      <w:r>
        <w:separator/>
      </w:r>
    </w:p>
  </w:footnote>
  <w:footnote w:type="continuationSeparator" w:id="0">
    <w:p w:rsidR="008A17CC" w:rsidRDefault="008A17CC"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8A17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8A17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8A17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84C"/>
    <w:multiLevelType w:val="hybridMultilevel"/>
    <w:tmpl w:val="82487AB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B1E7B"/>
    <w:multiLevelType w:val="hybridMultilevel"/>
    <w:tmpl w:val="12D255F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663744"/>
    <w:multiLevelType w:val="hybridMultilevel"/>
    <w:tmpl w:val="CD12E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1A0571"/>
    <w:multiLevelType w:val="hybridMultilevel"/>
    <w:tmpl w:val="F7121E8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370768"/>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A74265"/>
    <w:multiLevelType w:val="hybridMultilevel"/>
    <w:tmpl w:val="C3A42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17"/>
  </w:num>
  <w:num w:numId="5">
    <w:abstractNumId w:val="16"/>
  </w:num>
  <w:num w:numId="6">
    <w:abstractNumId w:val="5"/>
  </w:num>
  <w:num w:numId="7">
    <w:abstractNumId w:val="20"/>
  </w:num>
  <w:num w:numId="8">
    <w:abstractNumId w:val="15"/>
  </w:num>
  <w:num w:numId="9">
    <w:abstractNumId w:val="19"/>
  </w:num>
  <w:num w:numId="10">
    <w:abstractNumId w:val="11"/>
  </w:num>
  <w:num w:numId="11">
    <w:abstractNumId w:val="18"/>
  </w:num>
  <w:num w:numId="12">
    <w:abstractNumId w:val="7"/>
  </w:num>
  <w:num w:numId="13">
    <w:abstractNumId w:val="1"/>
  </w:num>
  <w:num w:numId="14">
    <w:abstractNumId w:val="4"/>
  </w:num>
  <w:num w:numId="15">
    <w:abstractNumId w:val="13"/>
  </w:num>
  <w:num w:numId="16">
    <w:abstractNumId w:val="21"/>
  </w:num>
  <w:num w:numId="17">
    <w:abstractNumId w:val="10"/>
  </w:num>
  <w:num w:numId="18">
    <w:abstractNumId w:val="3"/>
  </w:num>
  <w:num w:numId="19">
    <w:abstractNumId w:val="9"/>
  </w:num>
  <w:num w:numId="20">
    <w:abstractNumId w:val="2"/>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550C"/>
    <w:rsid w:val="00096CC2"/>
    <w:rsid w:val="000C1EE1"/>
    <w:rsid w:val="000E1040"/>
    <w:rsid w:val="00101869"/>
    <w:rsid w:val="00102360"/>
    <w:rsid w:val="0010753A"/>
    <w:rsid w:val="001240A5"/>
    <w:rsid w:val="001369DC"/>
    <w:rsid w:val="001B19B4"/>
    <w:rsid w:val="001D64D3"/>
    <w:rsid w:val="001F7C80"/>
    <w:rsid w:val="002275B6"/>
    <w:rsid w:val="00232437"/>
    <w:rsid w:val="002E0BA4"/>
    <w:rsid w:val="002E3ED2"/>
    <w:rsid w:val="002F79FF"/>
    <w:rsid w:val="003258B6"/>
    <w:rsid w:val="0032621F"/>
    <w:rsid w:val="00337F45"/>
    <w:rsid w:val="003416F2"/>
    <w:rsid w:val="00351453"/>
    <w:rsid w:val="00365A30"/>
    <w:rsid w:val="00384DBA"/>
    <w:rsid w:val="00401E8B"/>
    <w:rsid w:val="00407A2F"/>
    <w:rsid w:val="0048628E"/>
    <w:rsid w:val="004B6A69"/>
    <w:rsid w:val="004D201E"/>
    <w:rsid w:val="004E54FE"/>
    <w:rsid w:val="0051092B"/>
    <w:rsid w:val="005556CA"/>
    <w:rsid w:val="00597FBD"/>
    <w:rsid w:val="005F30BC"/>
    <w:rsid w:val="00617ACF"/>
    <w:rsid w:val="00627CAE"/>
    <w:rsid w:val="00694A91"/>
    <w:rsid w:val="006A7929"/>
    <w:rsid w:val="006B54EE"/>
    <w:rsid w:val="006B6E4B"/>
    <w:rsid w:val="006F0A01"/>
    <w:rsid w:val="00753B0B"/>
    <w:rsid w:val="00761B7C"/>
    <w:rsid w:val="00775E57"/>
    <w:rsid w:val="00781B49"/>
    <w:rsid w:val="0079704B"/>
    <w:rsid w:val="00797A31"/>
    <w:rsid w:val="007A2AA5"/>
    <w:rsid w:val="007D037D"/>
    <w:rsid w:val="00807E40"/>
    <w:rsid w:val="0083750E"/>
    <w:rsid w:val="00861BB5"/>
    <w:rsid w:val="008A17CC"/>
    <w:rsid w:val="008A4C72"/>
    <w:rsid w:val="008B3418"/>
    <w:rsid w:val="00924FD2"/>
    <w:rsid w:val="009623E8"/>
    <w:rsid w:val="009627CA"/>
    <w:rsid w:val="009A2D39"/>
    <w:rsid w:val="009E14DE"/>
    <w:rsid w:val="009F0294"/>
    <w:rsid w:val="00A16FEB"/>
    <w:rsid w:val="00A24423"/>
    <w:rsid w:val="00A54A3E"/>
    <w:rsid w:val="00A727D5"/>
    <w:rsid w:val="00B066EB"/>
    <w:rsid w:val="00B46E35"/>
    <w:rsid w:val="00B55534"/>
    <w:rsid w:val="00B57C0A"/>
    <w:rsid w:val="00B67CCF"/>
    <w:rsid w:val="00B75AFA"/>
    <w:rsid w:val="00B9285A"/>
    <w:rsid w:val="00B92C8E"/>
    <w:rsid w:val="00BB488C"/>
    <w:rsid w:val="00BB5722"/>
    <w:rsid w:val="00C3567A"/>
    <w:rsid w:val="00C64006"/>
    <w:rsid w:val="00C65912"/>
    <w:rsid w:val="00C65F6A"/>
    <w:rsid w:val="00C753D8"/>
    <w:rsid w:val="00C760CB"/>
    <w:rsid w:val="00C851A8"/>
    <w:rsid w:val="00CA2B8E"/>
    <w:rsid w:val="00CC7CC1"/>
    <w:rsid w:val="00CD46C3"/>
    <w:rsid w:val="00CF0462"/>
    <w:rsid w:val="00D704EE"/>
    <w:rsid w:val="00D84F48"/>
    <w:rsid w:val="00DC11A3"/>
    <w:rsid w:val="00DD14BB"/>
    <w:rsid w:val="00DE7A32"/>
    <w:rsid w:val="00E67163"/>
    <w:rsid w:val="00E82D3D"/>
    <w:rsid w:val="00F22581"/>
    <w:rsid w:val="00F30EE8"/>
    <w:rsid w:val="00F7738C"/>
    <w:rsid w:val="00F93F7E"/>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DD30-FB32-40AA-A127-C5C22956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3854</Words>
  <Characters>21199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 INFOEM</cp:lastModifiedBy>
  <cp:revision>2</cp:revision>
  <cp:lastPrinted>2019-02-22T19:49:00Z</cp:lastPrinted>
  <dcterms:created xsi:type="dcterms:W3CDTF">2019-02-26T23:48:00Z</dcterms:created>
  <dcterms:modified xsi:type="dcterms:W3CDTF">2019-02-26T23:48:00Z</dcterms:modified>
</cp:coreProperties>
</file>